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59E7" w14:textId="77777777" w:rsidR="000A157C" w:rsidRPr="00342B1B" w:rsidRDefault="000A157C" w:rsidP="00120344">
      <w:pPr>
        <w:pStyle w:val="DocumentLabel"/>
        <w:jc w:val="center"/>
        <w:rPr>
          <w:rFonts w:ascii="Arial" w:hAnsi="Arial" w:cs="Arial"/>
          <w:b w:val="0"/>
          <w:sz w:val="28"/>
          <w:u w:val="single"/>
        </w:rPr>
      </w:pPr>
      <w:r w:rsidRPr="00342B1B">
        <w:rPr>
          <w:rFonts w:ascii="Arial" w:hAnsi="Arial" w:cs="Arial"/>
          <w:b w:val="0"/>
          <w:caps/>
          <w:spacing w:val="86"/>
          <w:kern w:val="0"/>
          <w:sz w:val="28"/>
        </w:rPr>
        <w:t>Memorandum</w:t>
      </w:r>
    </w:p>
    <w:p w14:paraId="27F2A1D3" w14:textId="397BD472" w:rsidR="000A157C" w:rsidRDefault="003101EE" w:rsidP="003101EE">
      <w:pPr>
        <w:pStyle w:val="DocumentLabel"/>
        <w:tabs>
          <w:tab w:val="right" w:pos="9720"/>
        </w:tabs>
        <w:rPr>
          <w:rFonts w:ascii="Arial" w:hAnsi="Arial" w:cs="Arial"/>
          <w:b w:val="0"/>
          <w:sz w:val="24"/>
        </w:rPr>
      </w:pPr>
      <w:r>
        <w:rPr>
          <w:rStyle w:val="MessageHeaderLabel"/>
          <w:rFonts w:cs="Arial"/>
          <w:sz w:val="24"/>
        </w:rPr>
        <w:tab/>
      </w:r>
      <w:r w:rsidR="000A157C" w:rsidRPr="00342B1B">
        <w:rPr>
          <w:rStyle w:val="MessageHeaderLabel"/>
          <w:rFonts w:cs="Arial"/>
          <w:sz w:val="24"/>
        </w:rPr>
        <w:t xml:space="preserve">DATE: </w:t>
      </w:r>
      <w:r w:rsidR="00812376">
        <w:rPr>
          <w:rStyle w:val="MessageHeaderLabel"/>
          <w:rFonts w:cs="Arial"/>
          <w:sz w:val="24"/>
        </w:rPr>
        <w:t xml:space="preserve"> </w:t>
      </w:r>
      <w:r w:rsidR="0094150C">
        <w:rPr>
          <w:rStyle w:val="MessageHeaderLabel"/>
          <w:rFonts w:cs="Arial"/>
          <w:sz w:val="24"/>
        </w:rPr>
        <w:t>April 10, 2023</w:t>
      </w:r>
    </w:p>
    <w:p w14:paraId="2236EA41" w14:textId="77777777"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TO: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4A459B">
        <w:rPr>
          <w:rStyle w:val="MessageHeaderLabel"/>
          <w:rFonts w:cs="Arial"/>
          <w:b w:val="0"/>
          <w:sz w:val="24"/>
        </w:rPr>
        <w:t>Town</w:t>
      </w:r>
      <w:r>
        <w:rPr>
          <w:rStyle w:val="MessageHeaderLabel"/>
          <w:rFonts w:cs="Arial"/>
          <w:b w:val="0"/>
          <w:sz w:val="24"/>
        </w:rPr>
        <w:t xml:space="preserve"> Commission</w:t>
      </w:r>
    </w:p>
    <w:p w14:paraId="2FC587D8" w14:textId="77777777" w:rsidR="000A157C" w:rsidRDefault="000A157C" w:rsidP="008E52D3">
      <w:pPr>
        <w:pStyle w:val="MessageHeader"/>
        <w:tabs>
          <w:tab w:val="clear" w:pos="3600"/>
          <w:tab w:val="clear" w:pos="4680"/>
          <w:tab w:val="right" w:pos="1080"/>
        </w:tabs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FROM:</w:t>
      </w:r>
      <w:r>
        <w:rPr>
          <w:rStyle w:val="MessageHeaderLabel"/>
          <w:rFonts w:cs="Arial"/>
          <w:b w:val="0"/>
          <w:sz w:val="24"/>
        </w:rPr>
        <w:tab/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 w:rsidR="00E27970">
        <w:rPr>
          <w:rStyle w:val="MessageHeaderLabel"/>
          <w:rFonts w:cs="Arial"/>
          <w:b w:val="0"/>
          <w:sz w:val="24"/>
        </w:rPr>
        <w:t>paul levine</w:t>
      </w:r>
      <w:r w:rsidR="009440ED" w:rsidRPr="0048566C">
        <w:rPr>
          <w:rStyle w:val="MessageHeaderLabel"/>
          <w:rFonts w:cs="Arial"/>
          <w:b w:val="0"/>
          <w:sz w:val="24"/>
        </w:rPr>
        <w:t xml:space="preserve">, </w:t>
      </w:r>
      <w:r w:rsidRPr="0048566C">
        <w:rPr>
          <w:rStyle w:val="MessageHeaderLabel"/>
          <w:rFonts w:cs="Arial"/>
          <w:b w:val="0"/>
          <w:sz w:val="24"/>
        </w:rPr>
        <w:t>Tax oversight Committee</w:t>
      </w:r>
    </w:p>
    <w:p w14:paraId="47F94734" w14:textId="77777777" w:rsidR="000A157C" w:rsidRDefault="000A157C" w:rsidP="008E52D3">
      <w:pPr>
        <w:pStyle w:val="MessageHeader"/>
        <w:pBdr>
          <w:bottom w:val="single" w:sz="12" w:space="1" w:color="auto"/>
        </w:pBdr>
        <w:tabs>
          <w:tab w:val="clear" w:pos="3600"/>
          <w:tab w:val="clear" w:pos="4680"/>
          <w:tab w:val="right" w:pos="1080"/>
        </w:tabs>
        <w:spacing w:after="0"/>
        <w:ind w:left="1440" w:right="0" w:hanging="1440"/>
        <w:rPr>
          <w:rFonts w:cs="Arial"/>
          <w:sz w:val="24"/>
        </w:rPr>
      </w:pPr>
      <w:r>
        <w:rPr>
          <w:rStyle w:val="MessageHeaderLabel"/>
          <w:rFonts w:cs="Arial"/>
          <w:b w:val="0"/>
          <w:sz w:val="24"/>
        </w:rPr>
        <w:t>SUBJECT:</w:t>
      </w:r>
      <w:r w:rsidR="008E52D3">
        <w:rPr>
          <w:rStyle w:val="MessageHeaderLabel"/>
          <w:rFonts w:cs="Arial"/>
          <w:b w:val="0"/>
          <w:sz w:val="24"/>
        </w:rPr>
        <w:t xml:space="preserve"> </w:t>
      </w:r>
      <w:r>
        <w:rPr>
          <w:rStyle w:val="MessageHeaderLabel"/>
          <w:rFonts w:cs="Arial"/>
          <w:b w:val="0"/>
          <w:sz w:val="24"/>
        </w:rPr>
        <w:t>ANNUAL Committee Report</w:t>
      </w:r>
    </w:p>
    <w:p w14:paraId="412D78A5" w14:textId="0609C8D0" w:rsidR="009440ED" w:rsidRDefault="009440ED" w:rsidP="0080017B">
      <w:pPr>
        <w:pStyle w:val="BodyText"/>
        <w:spacing w:before="120" w:after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Citizen Tax Oversight Committee hel</w:t>
      </w:r>
      <w:r w:rsidR="00261447">
        <w:rPr>
          <w:rFonts w:ascii="Arial" w:hAnsi="Arial" w:cs="Arial"/>
          <w:sz w:val="24"/>
        </w:rPr>
        <w:t>d its annual meeting</w:t>
      </w:r>
      <w:r w:rsidR="00812376">
        <w:rPr>
          <w:rFonts w:ascii="Arial" w:hAnsi="Arial" w:cs="Arial"/>
          <w:sz w:val="24"/>
        </w:rPr>
        <w:t xml:space="preserve"> </w:t>
      </w:r>
      <w:r w:rsidR="00261447">
        <w:rPr>
          <w:rFonts w:ascii="Arial" w:hAnsi="Arial" w:cs="Arial"/>
          <w:sz w:val="24"/>
        </w:rPr>
        <w:t xml:space="preserve">on </w:t>
      </w:r>
      <w:r w:rsidR="0094150C">
        <w:rPr>
          <w:rFonts w:ascii="Arial" w:hAnsi="Arial" w:cs="Arial"/>
          <w:sz w:val="24"/>
        </w:rPr>
        <w:t>April 10, 2023</w:t>
      </w:r>
      <w:r w:rsidR="00812376" w:rsidRPr="0022675A">
        <w:rPr>
          <w:rFonts w:ascii="Arial" w:hAnsi="Arial" w:cs="Arial"/>
          <w:sz w:val="24"/>
        </w:rPr>
        <w:t xml:space="preserve"> </w:t>
      </w:r>
      <w:r w:rsidR="004B5AD0">
        <w:rPr>
          <w:rFonts w:ascii="Arial" w:hAnsi="Arial" w:cs="Arial"/>
          <w:sz w:val="24"/>
        </w:rPr>
        <w:t>9</w:t>
      </w:r>
      <w:r w:rsidR="00812376" w:rsidRPr="0022675A">
        <w:rPr>
          <w:rFonts w:ascii="Arial" w:hAnsi="Arial" w:cs="Arial"/>
          <w:sz w:val="24"/>
        </w:rPr>
        <w:t>:</w:t>
      </w:r>
      <w:r w:rsidR="001E494F">
        <w:rPr>
          <w:rFonts w:ascii="Arial" w:hAnsi="Arial" w:cs="Arial"/>
          <w:sz w:val="24"/>
        </w:rPr>
        <w:t>0</w:t>
      </w:r>
      <w:r w:rsidR="00ED6D28">
        <w:rPr>
          <w:rFonts w:ascii="Arial" w:hAnsi="Arial" w:cs="Arial"/>
          <w:sz w:val="24"/>
        </w:rPr>
        <w:t>0</w:t>
      </w:r>
      <w:r w:rsidR="0048566C">
        <w:rPr>
          <w:rFonts w:ascii="Arial" w:hAnsi="Arial" w:cs="Arial"/>
          <w:sz w:val="24"/>
        </w:rPr>
        <w:t xml:space="preserve"> </w:t>
      </w:r>
      <w:r w:rsidR="00ED6D28">
        <w:rPr>
          <w:rFonts w:ascii="Arial" w:hAnsi="Arial" w:cs="Arial"/>
          <w:sz w:val="24"/>
        </w:rPr>
        <w:t>a</w:t>
      </w:r>
      <w:r w:rsidR="00812376" w:rsidRPr="0022675A">
        <w:rPr>
          <w:rFonts w:ascii="Arial" w:hAnsi="Arial" w:cs="Arial"/>
          <w:sz w:val="24"/>
        </w:rPr>
        <w:t>m</w:t>
      </w:r>
      <w:r w:rsidR="00812376">
        <w:rPr>
          <w:rFonts w:ascii="Arial" w:hAnsi="Arial" w:cs="Arial"/>
          <w:sz w:val="24"/>
        </w:rPr>
        <w:t xml:space="preserve"> </w:t>
      </w:r>
      <w:r w:rsidR="00FA1306">
        <w:rPr>
          <w:rFonts w:ascii="Arial" w:hAnsi="Arial" w:cs="Arial"/>
          <w:sz w:val="24"/>
        </w:rPr>
        <w:t>in a public meeting</w:t>
      </w:r>
      <w:r w:rsidR="001E49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reviewed the following:</w:t>
      </w:r>
    </w:p>
    <w:p w14:paraId="087A3B38" w14:textId="77777777" w:rsidR="000A157C" w:rsidRPr="0008538C" w:rsidRDefault="000A157C" w:rsidP="0080017B">
      <w:pPr>
        <w:numPr>
          <w:ilvl w:val="0"/>
          <w:numId w:val="1"/>
        </w:numPr>
        <w:tabs>
          <w:tab w:val="center" w:pos="4320"/>
        </w:tabs>
        <w:spacing w:after="120"/>
        <w:rPr>
          <w:b/>
          <w:bCs/>
        </w:rPr>
      </w:pPr>
      <w:r w:rsidRPr="0008538C">
        <w:rPr>
          <w:b/>
          <w:bCs/>
        </w:rPr>
        <w:t>Audited Results</w:t>
      </w:r>
    </w:p>
    <w:p w14:paraId="543E8EB0" w14:textId="2AEFE1FF" w:rsidR="0033290A" w:rsidRPr="00A643CB" w:rsidRDefault="000A157C" w:rsidP="00A643CB">
      <w:pPr>
        <w:tabs>
          <w:tab w:val="center" w:pos="4320"/>
        </w:tabs>
        <w:ind w:left="720"/>
        <w:jc w:val="both"/>
      </w:pPr>
      <w:r w:rsidRPr="0008538C">
        <w:t xml:space="preserve">The </w:t>
      </w:r>
      <w:r w:rsidR="00AF77C0">
        <w:t>Budget Manager</w:t>
      </w:r>
      <w:r w:rsidR="00A55386">
        <w:t xml:space="preserve"> </w:t>
      </w:r>
      <w:r w:rsidRPr="0008538C">
        <w:t xml:space="preserve">reviewed the </w:t>
      </w:r>
      <w:r w:rsidR="004648DF" w:rsidRPr="0008538C">
        <w:t>20</w:t>
      </w:r>
      <w:r w:rsidR="001E494F">
        <w:t>2</w:t>
      </w:r>
      <w:r w:rsidR="0094150C">
        <w:t>2</w:t>
      </w:r>
      <w:r w:rsidRPr="0008538C">
        <w:t xml:space="preserve"> audited results of operations </w:t>
      </w:r>
      <w:r w:rsidR="00666B4D">
        <w:t xml:space="preserve">with the Citizen Tax Oversight </w:t>
      </w:r>
      <w:r w:rsidR="00666B4D" w:rsidRPr="0008538C">
        <w:t xml:space="preserve">Committee </w:t>
      </w:r>
      <w:r w:rsidRPr="0008538C">
        <w:t xml:space="preserve">which showed that the fund </w:t>
      </w:r>
      <w:r w:rsidR="0008538C" w:rsidRPr="0008538C">
        <w:t>ba</w:t>
      </w:r>
      <w:r w:rsidR="004648DF" w:rsidRPr="0008538C">
        <w:t xml:space="preserve">lance </w:t>
      </w:r>
      <w:r w:rsidR="00DB40BF">
        <w:t>in</w:t>
      </w:r>
      <w:r w:rsidR="00DF7945">
        <w:t>creased</w:t>
      </w:r>
      <w:r w:rsidR="00432083">
        <w:t xml:space="preserve"> $</w:t>
      </w:r>
      <w:r w:rsidR="0094150C">
        <w:t>534,24</w:t>
      </w:r>
      <w:r w:rsidR="005D42F1">
        <w:t>6</w:t>
      </w:r>
      <w:r w:rsidRPr="0008538C">
        <w:t xml:space="preserve"> </w:t>
      </w:r>
      <w:r w:rsidR="0008538C">
        <w:t xml:space="preserve">for a total </w:t>
      </w:r>
      <w:r w:rsidR="00756E1C">
        <w:t xml:space="preserve">fund balance </w:t>
      </w:r>
      <w:r w:rsidR="008F41F6">
        <w:t>of $</w:t>
      </w:r>
      <w:r w:rsidR="0094150C">
        <w:t>1,588,02</w:t>
      </w:r>
      <w:r w:rsidR="005D42F1">
        <w:t>2</w:t>
      </w:r>
      <w:r w:rsidR="0008538C">
        <w:t xml:space="preserve"> </w:t>
      </w:r>
      <w:r w:rsidRPr="0008538C">
        <w:t>as follows:</w:t>
      </w:r>
    </w:p>
    <w:p w14:paraId="7EF4CA61" w14:textId="77777777" w:rsidR="00ED164B" w:rsidRPr="00A643CB" w:rsidRDefault="008F41F6" w:rsidP="008F41F6">
      <w:pPr>
        <w:tabs>
          <w:tab w:val="center" w:pos="4320"/>
        </w:tabs>
        <w:ind w:left="720"/>
        <w:rPr>
          <w:sz w:val="20"/>
        </w:rPr>
      </w:pPr>
      <w:r>
        <w:t xml:space="preserve">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"/>
        <w:gridCol w:w="6020"/>
        <w:gridCol w:w="1980"/>
      </w:tblGrid>
      <w:tr w:rsidR="00F30AAF" w14:paraId="497B4260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004E048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bookmarkStart w:id="0" w:name="_Hlk65598875"/>
          </w:p>
        </w:tc>
        <w:tc>
          <w:tcPr>
            <w:tcW w:w="6020" w:type="dxa"/>
            <w:shd w:val="clear" w:color="auto" w:fill="auto"/>
          </w:tcPr>
          <w:p w14:paraId="261CD325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DCF3A1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Audited</w:t>
            </w:r>
          </w:p>
        </w:tc>
      </w:tr>
      <w:tr w:rsidR="00F30AAF" w14:paraId="46893797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8AE4361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705BA64B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078515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Actual</w:t>
            </w:r>
          </w:p>
        </w:tc>
      </w:tr>
      <w:tr w:rsidR="00F30AAF" w14:paraId="6837FA28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926883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7643FF6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A98AA1" w14:textId="5A485612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FY</w:t>
            </w:r>
            <w:r w:rsidR="002718C7">
              <w:rPr>
                <w:b/>
                <w:bCs/>
                <w:color w:val="000000"/>
                <w:sz w:val="20"/>
                <w:szCs w:val="20"/>
                <w:u w:val="single"/>
              </w:rPr>
              <w:t>20</w:t>
            </w:r>
            <w:r w:rsidR="001E494F">
              <w:rPr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94150C">
              <w:rPr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</w:tr>
      <w:tr w:rsidR="00F30AAF" w14:paraId="1EB48CC8" w14:textId="77777777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4684CF29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Revenue:</w:t>
            </w:r>
          </w:p>
        </w:tc>
        <w:tc>
          <w:tcPr>
            <w:tcW w:w="1980" w:type="dxa"/>
            <w:shd w:val="clear" w:color="auto" w:fill="auto"/>
          </w:tcPr>
          <w:p w14:paraId="700C30AF" w14:textId="77777777" w:rsidR="00F30AAF" w:rsidRDefault="00F3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AAF" w14:paraId="215C675D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0F899B0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D0CB16F" w14:textId="77777777"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Infrastructure Surtax</w:t>
            </w:r>
          </w:p>
        </w:tc>
        <w:tc>
          <w:tcPr>
            <w:tcW w:w="1980" w:type="dxa"/>
            <w:shd w:val="clear" w:color="auto" w:fill="auto"/>
          </w:tcPr>
          <w:p w14:paraId="5AFFC604" w14:textId="7C29F322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94150C">
              <w:rPr>
                <w:color w:val="000000"/>
                <w:sz w:val="20"/>
                <w:szCs w:val="20"/>
              </w:rPr>
              <w:t>975,070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C3757" w14:paraId="77AECE8E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70F62171" w14:textId="77777777" w:rsidR="003C3757" w:rsidRDefault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D6DD0E8" w14:textId="77777777" w:rsidR="003C3757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Proceeds from Sale of Fixed Assets</w:t>
            </w:r>
          </w:p>
        </w:tc>
        <w:tc>
          <w:tcPr>
            <w:tcW w:w="1980" w:type="dxa"/>
            <w:shd w:val="clear" w:color="auto" w:fill="auto"/>
          </w:tcPr>
          <w:p w14:paraId="68F41AA3" w14:textId="1357E0F8" w:rsidR="003C3757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F30AAF" w:rsidRPr="008E52D3" w14:paraId="77C5E1EB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08371AA5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4505E590" w14:textId="268D8FC6"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 Investment Income</w:t>
            </w:r>
            <w:r w:rsidR="00311B32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E4492F1" w14:textId="2AEAE477" w:rsidR="00F30AAF" w:rsidRPr="008E52D3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(19,754)</w:t>
            </w:r>
            <w:r w:rsidR="00F30AAF" w:rsidRPr="008E52D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14:paraId="4EB90A03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7D78E150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168BE77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Revenue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8D35" w14:textId="03848344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94150C">
              <w:rPr>
                <w:color w:val="000000"/>
                <w:sz w:val="20"/>
                <w:szCs w:val="20"/>
              </w:rPr>
              <w:t>962,316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14:paraId="30A8C472" w14:textId="77777777" w:rsidTr="00F043A7">
        <w:trPr>
          <w:trHeight w:val="173"/>
          <w:jc w:val="center"/>
        </w:trPr>
        <w:tc>
          <w:tcPr>
            <w:tcW w:w="370" w:type="dxa"/>
            <w:shd w:val="clear" w:color="auto" w:fill="auto"/>
          </w:tcPr>
          <w:p w14:paraId="2BC1F42D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4AC12914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6F51D01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51C41C15" w14:textId="77777777" w:rsidTr="00EC1465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558504FB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Expenditures:</w:t>
            </w:r>
          </w:p>
        </w:tc>
        <w:tc>
          <w:tcPr>
            <w:tcW w:w="1980" w:type="dxa"/>
            <w:shd w:val="clear" w:color="auto" w:fill="auto"/>
          </w:tcPr>
          <w:p w14:paraId="6B1CFA88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15CA5B66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6B76220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2E043C90" w14:textId="77777777" w:rsidR="00F30AAF" w:rsidRDefault="00F30AA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Public Facilities 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442B">
              <w:rPr>
                <w:color w:val="000000"/>
                <w:sz w:val="20"/>
                <w:szCs w:val="20"/>
              </w:rPr>
              <w:t>HVAC Replacements</w:t>
            </w:r>
          </w:p>
        </w:tc>
        <w:tc>
          <w:tcPr>
            <w:tcW w:w="1980" w:type="dxa"/>
            <w:shd w:val="clear" w:color="auto" w:fill="auto"/>
          </w:tcPr>
          <w:p w14:paraId="739427DE" w14:textId="7D23C1E2" w:rsidR="00F30AAF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4,396</w:t>
            </w:r>
          </w:p>
        </w:tc>
      </w:tr>
      <w:tr w:rsidR="00F30AAF" w14:paraId="491A65C2" w14:textId="77777777" w:rsidTr="00EC1465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6C4A061B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6ED9287A" w14:textId="7C0993DF" w:rsidR="00F30AAF" w:rsidRDefault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Parks and Recreation</w:t>
            </w:r>
            <w:r w:rsidR="0061649A">
              <w:rPr>
                <w:color w:val="000000"/>
                <w:sz w:val="20"/>
                <w:szCs w:val="20"/>
              </w:rPr>
              <w:t>–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  <w:r w:rsidR="0061649A">
              <w:rPr>
                <w:color w:val="000000"/>
                <w:sz w:val="20"/>
                <w:szCs w:val="20"/>
              </w:rPr>
              <w:t>T</w:t>
            </w:r>
            <w:r w:rsidR="0094150C">
              <w:rPr>
                <w:color w:val="000000"/>
                <w:sz w:val="20"/>
                <w:szCs w:val="20"/>
              </w:rPr>
              <w:t>ransfer to Town Center</w:t>
            </w:r>
          </w:p>
        </w:tc>
        <w:tc>
          <w:tcPr>
            <w:tcW w:w="1980" w:type="dxa"/>
            <w:shd w:val="clear" w:color="auto" w:fill="auto"/>
          </w:tcPr>
          <w:p w14:paraId="1BF2B51A" w14:textId="270A8779" w:rsidR="00F30AAF" w:rsidRDefault="009415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85,381</w:t>
            </w:r>
          </w:p>
        </w:tc>
      </w:tr>
      <w:tr w:rsidR="003C3757" w14:paraId="11F915D7" w14:textId="77777777" w:rsidTr="00D2442B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E558F73" w14:textId="77777777" w:rsidR="003C3757" w:rsidRDefault="003C3757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536CFC7A" w14:textId="77777777" w:rsidR="00D2442B" w:rsidRDefault="003C3757" w:rsidP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Parks and Recreation– </w:t>
            </w:r>
            <w:r w:rsidR="00D2442B">
              <w:rPr>
                <w:color w:val="000000"/>
                <w:sz w:val="20"/>
                <w:szCs w:val="20"/>
              </w:rPr>
              <w:t xml:space="preserve">Tennis Court Underground Watering </w:t>
            </w:r>
          </w:p>
          <w:p w14:paraId="171EBC06" w14:textId="59D9B324" w:rsidR="003C3757" w:rsidRDefault="00D2442B" w:rsidP="003C375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System Replacement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1FF4A5" w14:textId="5B189A06" w:rsidR="003C3757" w:rsidRDefault="0094150C" w:rsidP="003C37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143,065</w:t>
            </w:r>
          </w:p>
        </w:tc>
      </w:tr>
      <w:tr w:rsidR="00EC1465" w14:paraId="1B07148C" w14:textId="77777777" w:rsidTr="00D2442B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1BC79FEA" w14:textId="77777777" w:rsidR="00EC1465" w:rsidRDefault="00EC1465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676DA6A7" w14:textId="6C4D49E6" w:rsidR="00D2442B" w:rsidRDefault="00EC1465" w:rsidP="00D2442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Police</w:t>
            </w:r>
            <w:r w:rsidR="0094150C">
              <w:rPr>
                <w:color w:val="000000"/>
                <w:sz w:val="20"/>
                <w:szCs w:val="20"/>
              </w:rPr>
              <w:t xml:space="preserve"> ATV and Tasers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9F36D2" w14:textId="52323CA4" w:rsidR="00EC1465" w:rsidRDefault="0094150C" w:rsidP="004F2B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75,055</w:t>
            </w:r>
          </w:p>
        </w:tc>
      </w:tr>
      <w:tr w:rsidR="00EC1465" w14:paraId="40E0CE2D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79ABF4E1" w14:textId="77777777" w:rsidR="00EC1465" w:rsidRDefault="00EC1465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54DE5A84" w14:textId="42B43B17" w:rsidR="00EC1465" w:rsidRDefault="00EC1465" w:rsidP="00EC14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 Safety- Fire</w:t>
            </w:r>
            <w:r w:rsidR="0094150C">
              <w:rPr>
                <w:color w:val="000000"/>
                <w:sz w:val="20"/>
                <w:szCs w:val="20"/>
              </w:rPr>
              <w:t xml:space="preserve"> ATV, Defibrillators, Pool car</w:t>
            </w:r>
            <w:r>
              <w:rPr>
                <w:color w:val="000000"/>
                <w:sz w:val="20"/>
                <w:szCs w:val="20"/>
              </w:rPr>
              <w:t>; Communication Equipment</w:t>
            </w:r>
            <w:r w:rsidR="00B56E47">
              <w:rPr>
                <w:color w:val="000000"/>
                <w:sz w:val="20"/>
                <w:szCs w:val="20"/>
              </w:rPr>
              <w:t xml:space="preserve"> and Video Airway Equipment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9764360" w14:textId="77777777" w:rsidR="00B56E47" w:rsidRDefault="00B56E47" w:rsidP="00EC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714360AD" w14:textId="790396C8" w:rsidR="00B56E47" w:rsidRDefault="00B56E47" w:rsidP="00B56E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120,172</w:t>
            </w:r>
          </w:p>
        </w:tc>
      </w:tr>
      <w:tr w:rsidR="00F30AAF" w14:paraId="54813053" w14:textId="77777777" w:rsidTr="00F043A7">
        <w:trPr>
          <w:trHeight w:val="290"/>
          <w:jc w:val="center"/>
        </w:trPr>
        <w:tc>
          <w:tcPr>
            <w:tcW w:w="370" w:type="dxa"/>
            <w:shd w:val="clear" w:color="auto" w:fill="auto"/>
          </w:tcPr>
          <w:p w14:paraId="0B525B9C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7191192E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>Total Expenditures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FEBAD" w14:textId="00C62EFE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428,069</w:t>
            </w:r>
          </w:p>
        </w:tc>
      </w:tr>
      <w:tr w:rsidR="00F30AAF" w14:paraId="4F2839A7" w14:textId="77777777" w:rsidTr="00F043A7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14:paraId="7B27D03E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416CD089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0688F4E9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547C574B" w14:textId="77777777" w:rsidTr="00F043A7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55389F8C" w14:textId="77777777" w:rsidR="00F30AAF" w:rsidRDefault="00DB40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Revenues over e</w:t>
            </w:r>
            <w:r w:rsidR="00F30AAF">
              <w:rPr>
                <w:color w:val="000000"/>
                <w:sz w:val="20"/>
                <w:szCs w:val="20"/>
              </w:rPr>
              <w:t>xpenditures</w:t>
            </w:r>
          </w:p>
        </w:tc>
        <w:tc>
          <w:tcPr>
            <w:tcW w:w="1980" w:type="dxa"/>
            <w:shd w:val="clear" w:color="auto" w:fill="auto"/>
          </w:tcPr>
          <w:p w14:paraId="784D9C91" w14:textId="58E8B645" w:rsidR="00DF7945" w:rsidRDefault="00DF7945" w:rsidP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534,24</w:t>
            </w:r>
            <w:r w:rsidR="005D42F1">
              <w:rPr>
                <w:color w:val="000000"/>
                <w:sz w:val="20"/>
                <w:szCs w:val="20"/>
              </w:rPr>
              <w:t>6</w:t>
            </w:r>
          </w:p>
        </w:tc>
      </w:tr>
      <w:tr w:rsidR="00F30AAF" w14:paraId="2C8626D8" w14:textId="77777777" w:rsidTr="00F043A7">
        <w:trPr>
          <w:trHeight w:val="185"/>
          <w:jc w:val="center"/>
        </w:trPr>
        <w:tc>
          <w:tcPr>
            <w:tcW w:w="370" w:type="dxa"/>
            <w:shd w:val="clear" w:color="auto" w:fill="auto"/>
          </w:tcPr>
          <w:p w14:paraId="412DB263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1121472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B345B6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23BC4D04" w14:textId="77777777" w:rsidTr="00F043A7">
        <w:trPr>
          <w:trHeight w:val="290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318CEA23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Beginning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5FF0700" w14:textId="4A7D8FB4" w:rsidR="00F30AAF" w:rsidRDefault="00DF79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1,053,77</w:t>
            </w:r>
            <w:r w:rsidR="005D42F1">
              <w:rPr>
                <w:color w:val="000000"/>
                <w:sz w:val="20"/>
                <w:szCs w:val="20"/>
              </w:rPr>
              <w:t>6</w:t>
            </w:r>
            <w:r w:rsidR="00F30A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30AAF" w14:paraId="0C499C0A" w14:textId="77777777" w:rsidTr="00F043A7">
        <w:trPr>
          <w:trHeight w:val="163"/>
          <w:jc w:val="center"/>
        </w:trPr>
        <w:tc>
          <w:tcPr>
            <w:tcW w:w="370" w:type="dxa"/>
            <w:shd w:val="clear" w:color="auto" w:fill="auto"/>
          </w:tcPr>
          <w:p w14:paraId="09E346E8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</w:tcPr>
          <w:p w14:paraId="6F23EB73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0C8B52" w14:textId="77777777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30AAF" w14:paraId="0F229EFB" w14:textId="77777777" w:rsidTr="00F043A7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7EF3D78A" w14:textId="77777777" w:rsidR="00F30AAF" w:rsidRDefault="00F30A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Fund Balance, Ending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14:paraId="6BA0B3E7" w14:textId="214F6FD2" w:rsidR="00F30AAF" w:rsidRDefault="00F30A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B56E47">
              <w:rPr>
                <w:color w:val="000000"/>
                <w:sz w:val="20"/>
                <w:szCs w:val="20"/>
              </w:rPr>
              <w:t>1,588,02</w:t>
            </w:r>
            <w:r w:rsidR="00311B32">
              <w:rPr>
                <w:color w:val="000000"/>
                <w:sz w:val="20"/>
                <w:szCs w:val="20"/>
              </w:rPr>
              <w:t>2</w:t>
            </w:r>
          </w:p>
        </w:tc>
      </w:tr>
      <w:tr w:rsidR="00311B32" w14:paraId="660015FE" w14:textId="77777777" w:rsidTr="00F043A7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6D95EED3" w14:textId="77777777" w:rsidR="00311B32" w:rsidRDefault="00311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F80C64" w14:textId="77777777" w:rsidR="00311B32" w:rsidRDefault="00311B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11B32" w14:paraId="1E69B5FF" w14:textId="77777777" w:rsidTr="00EC1465">
        <w:trPr>
          <w:trHeight w:val="305"/>
          <w:jc w:val="center"/>
        </w:trPr>
        <w:tc>
          <w:tcPr>
            <w:tcW w:w="6390" w:type="dxa"/>
            <w:gridSpan w:val="2"/>
            <w:shd w:val="clear" w:color="auto" w:fill="auto"/>
          </w:tcPr>
          <w:p w14:paraId="00BB0234" w14:textId="4460C308" w:rsidR="00311B32" w:rsidRPr="00311B32" w:rsidRDefault="00311B32" w:rsidP="00311B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11B32">
              <w:rPr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Investment Income </w:t>
            </w:r>
            <w:r w:rsidRPr="00311B32">
              <w:rPr>
                <w:color w:val="000000"/>
                <w:sz w:val="20"/>
                <w:szCs w:val="20"/>
              </w:rPr>
              <w:t>is net of $287 of Investment Expense</w:t>
            </w: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980" w:type="dxa"/>
            <w:shd w:val="clear" w:color="auto" w:fill="auto"/>
          </w:tcPr>
          <w:p w14:paraId="21503E10" w14:textId="77777777" w:rsidR="00311B32" w:rsidRDefault="00311B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3E39B29D" w14:textId="77777777" w:rsidR="0033290A" w:rsidRPr="00A643CB" w:rsidRDefault="0033290A" w:rsidP="00432083">
      <w:pPr>
        <w:tabs>
          <w:tab w:val="center" w:pos="4320"/>
        </w:tabs>
        <w:ind w:left="720"/>
        <w:jc w:val="center"/>
        <w:rPr>
          <w:sz w:val="20"/>
        </w:rPr>
      </w:pPr>
    </w:p>
    <w:p w14:paraId="46860A0D" w14:textId="77777777" w:rsidR="00401775" w:rsidRDefault="00ED164B" w:rsidP="004F2606">
      <w:pPr>
        <w:tabs>
          <w:tab w:val="left" w:pos="720"/>
          <w:tab w:val="center" w:pos="4320"/>
        </w:tabs>
      </w:pPr>
      <w:r>
        <w:br w:type="page"/>
      </w:r>
    </w:p>
    <w:p w14:paraId="1F3C6679" w14:textId="77777777" w:rsidR="00401775" w:rsidRPr="00FA6581" w:rsidRDefault="00401775" w:rsidP="0080017B">
      <w:pPr>
        <w:numPr>
          <w:ilvl w:val="0"/>
          <w:numId w:val="1"/>
        </w:numPr>
        <w:tabs>
          <w:tab w:val="left" w:pos="720"/>
          <w:tab w:val="center" w:pos="4320"/>
        </w:tabs>
        <w:spacing w:after="120"/>
        <w:rPr>
          <w:b/>
        </w:rPr>
      </w:pPr>
      <w:r w:rsidRPr="00FA6581">
        <w:rPr>
          <w:b/>
        </w:rPr>
        <w:lastRenderedPageBreak/>
        <w:t>Town Process Compliance</w:t>
      </w:r>
    </w:p>
    <w:p w14:paraId="6B33E9F3" w14:textId="77777777" w:rsidR="00545510" w:rsidRDefault="00545510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 xml:space="preserve">The Citizen Tax Oversight Committee’s role is to ensure the Town is complying with proper procedures with regards to the infrastructure surtax budget process. </w:t>
      </w:r>
    </w:p>
    <w:p w14:paraId="41A2FFBF" w14:textId="77777777" w:rsidR="00666B4D" w:rsidRDefault="00D46344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>The Committee has determined</w:t>
      </w:r>
      <w:r w:rsidR="00E01583">
        <w:t>,</w:t>
      </w:r>
      <w:r>
        <w:t xml:space="preserve"> based on the materials provided</w:t>
      </w:r>
      <w:r w:rsidR="00E01583">
        <w:t>,</w:t>
      </w:r>
      <w:r>
        <w:t xml:space="preserve"> that t</w:t>
      </w:r>
      <w:r w:rsidR="00401775">
        <w:t>he Town has complied with the proper process regarding infrastructure surtax approvals</w:t>
      </w:r>
      <w:r>
        <w:t>.</w:t>
      </w:r>
    </w:p>
    <w:p w14:paraId="253A0E97" w14:textId="4B47DDE3" w:rsidR="00401775" w:rsidRDefault="000C5BA4" w:rsidP="0080017B">
      <w:pPr>
        <w:tabs>
          <w:tab w:val="left" w:pos="720"/>
          <w:tab w:val="center" w:pos="4320"/>
        </w:tabs>
        <w:spacing w:after="240"/>
        <w:ind w:left="720"/>
        <w:jc w:val="both"/>
      </w:pPr>
      <w:r>
        <w:t xml:space="preserve">The </w:t>
      </w:r>
      <w:r w:rsidR="00B56E47">
        <w:t>last amendment to “Exhibit F” of Sarasota County Ordinance 2007-087 was presented</w:t>
      </w:r>
      <w:r w:rsidR="00227003">
        <w:t xml:space="preserve"> and passed by the Commission</w:t>
      </w:r>
      <w:r w:rsidR="00B56E47">
        <w:t xml:space="preserve"> in Resolution 2021-13 on July 2, 2021. No other amendments were required in FY2022. </w:t>
      </w:r>
      <w:r w:rsidR="004575C7">
        <w:t xml:space="preserve">The current </w:t>
      </w:r>
      <w:r w:rsidR="00E60582">
        <w:t xml:space="preserve">budget covering Phase III </w:t>
      </w:r>
      <w:r>
        <w:t>a</w:t>
      </w:r>
      <w:r w:rsidR="004575C7">
        <w:t xml:space="preserve">llocation of </w:t>
      </w:r>
      <w:r>
        <w:t>f</w:t>
      </w:r>
      <w:r w:rsidR="004575C7">
        <w:t>unds</w:t>
      </w:r>
      <w:r w:rsidR="00227003">
        <w:t>, as amended by Resolution 2021-13</w:t>
      </w:r>
      <w:r w:rsidR="004575C7">
        <w:t xml:space="preserve"> </w:t>
      </w:r>
      <w:r w:rsidR="00E60582">
        <w:t>for the period FY20</w:t>
      </w:r>
      <w:r w:rsidR="00C7328C">
        <w:t>0</w:t>
      </w:r>
      <w:r w:rsidR="008F41F6">
        <w:t>9-FY202</w:t>
      </w:r>
      <w:r w:rsidR="00F668CA">
        <w:t>5</w:t>
      </w:r>
      <w:r w:rsidR="00E60582">
        <w:t xml:space="preserve"> </w:t>
      </w:r>
      <w:r w:rsidR="004575C7">
        <w:t>is presented below:</w:t>
      </w:r>
    </w:p>
    <w:tbl>
      <w:tblPr>
        <w:tblW w:w="59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4"/>
        <w:gridCol w:w="320"/>
        <w:gridCol w:w="1675"/>
      </w:tblGrid>
      <w:tr w:rsidR="004575C7" w:rsidRPr="0008538C" w14:paraId="719B1DBA" w14:textId="77777777" w:rsidTr="008E52D3">
        <w:trPr>
          <w:trHeight w:val="333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8648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24050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A13D5" w14:textId="77777777"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92E4" w14:textId="77777777"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PHASE III</w:t>
            </w:r>
          </w:p>
        </w:tc>
      </w:tr>
      <w:tr w:rsidR="004575C7" w:rsidRPr="0008538C" w14:paraId="277EF5B6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04DCC" w14:textId="77777777" w:rsidR="004575C7" w:rsidRPr="0008538C" w:rsidRDefault="004575C7" w:rsidP="00401775">
            <w:pPr>
              <w:pStyle w:val="Heading2"/>
            </w:pPr>
            <w:r w:rsidRPr="0008538C">
              <w:t>Project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5743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8F591" w14:textId="77777777" w:rsidR="004575C7" w:rsidRPr="0008538C" w:rsidRDefault="004575C7" w:rsidP="0040177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1985D" w14:textId="77777777" w:rsidR="004575C7" w:rsidRPr="0008538C" w:rsidRDefault="004575C7" w:rsidP="008E52D3">
            <w:pPr>
              <w:jc w:val="center"/>
              <w:rPr>
                <w:rFonts w:eastAsia="Arial Unicode MS"/>
                <w:b/>
                <w:bCs/>
                <w:sz w:val="18"/>
                <w:szCs w:val="18"/>
                <w:u w:val="single"/>
              </w:rPr>
            </w:pPr>
            <w:r w:rsidRPr="0008538C">
              <w:rPr>
                <w:b/>
                <w:bCs/>
                <w:sz w:val="18"/>
                <w:szCs w:val="18"/>
                <w:u w:val="single"/>
              </w:rPr>
              <w:t>ALLOCATION</w:t>
            </w:r>
          </w:p>
        </w:tc>
      </w:tr>
      <w:tr w:rsidR="004575C7" w:rsidRPr="0008538C" w14:paraId="766147E0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51D5C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 w:rsidRPr="0008538C">
              <w:rPr>
                <w:sz w:val="20"/>
                <w:szCs w:val="20"/>
              </w:rPr>
              <w:t>Beach Nourishment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42EE1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737D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63EBA" w14:textId="77777777" w:rsidR="004575C7" w:rsidRPr="0008538C" w:rsidRDefault="004575C7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7328C">
              <w:rPr>
                <w:sz w:val="20"/>
                <w:szCs w:val="20"/>
              </w:rPr>
              <w:t>300,000</w:t>
            </w:r>
          </w:p>
        </w:tc>
      </w:tr>
      <w:tr w:rsidR="004575C7" w:rsidRPr="0008538C" w14:paraId="1AC29DD8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F4235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Streets &amp; Drainage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990A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AC76F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CD02" w14:textId="77777777"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5C7" w:rsidRPr="0008538C" w14:paraId="55163E79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E3253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Park&amp; Recreation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D5F3E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B6CC4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89199" w14:textId="77777777"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7328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,</w:t>
            </w:r>
            <w:r w:rsidR="00C7328C">
              <w:rPr>
                <w:sz w:val="20"/>
                <w:szCs w:val="20"/>
              </w:rPr>
              <w:t>494</w:t>
            </w:r>
          </w:p>
        </w:tc>
      </w:tr>
      <w:tr w:rsidR="004575C7" w:rsidRPr="0008538C" w14:paraId="070CCF61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78205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Canal Dredging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EBDC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1BEE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85E77" w14:textId="77777777" w:rsidR="004575C7" w:rsidRPr="0008538C" w:rsidRDefault="004575C7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900,000</w:t>
            </w:r>
          </w:p>
        </w:tc>
      </w:tr>
      <w:tr w:rsidR="004575C7" w:rsidRPr="0008538C" w14:paraId="369691DB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6F0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CB250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1A58A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89059" w14:textId="77777777" w:rsidR="004575C7" w:rsidRPr="0008538C" w:rsidRDefault="00C7328C" w:rsidP="00310E0C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0A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366</w:t>
            </w:r>
            <w:r w:rsidR="00F30A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773</w:t>
            </w:r>
          </w:p>
        </w:tc>
      </w:tr>
      <w:tr w:rsidR="004575C7" w:rsidRPr="0008538C" w14:paraId="7BA252E5" w14:textId="77777777" w:rsidTr="008E52D3">
        <w:trPr>
          <w:trHeight w:val="3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4B36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Public Facility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0297C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47634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781FC" w14:textId="77777777" w:rsidR="004575C7" w:rsidRPr="0008538C" w:rsidRDefault="00C7328C" w:rsidP="00401775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1,160</w:t>
            </w:r>
            <w:r w:rsidR="004575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601</w:t>
            </w:r>
          </w:p>
        </w:tc>
      </w:tr>
      <w:tr w:rsidR="004575C7" w:rsidRPr="0008538C" w14:paraId="6FBA8B2A" w14:textId="77777777" w:rsidTr="008E52D3">
        <w:trPr>
          <w:trHeight w:val="3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31DC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ABF4D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9BC8B" w14:textId="77777777" w:rsidR="004575C7" w:rsidRPr="0008538C" w:rsidRDefault="004575C7" w:rsidP="0040177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31CF3" w14:textId="77777777" w:rsidR="004575C7" w:rsidRPr="0008538C" w:rsidRDefault="00F30AAF" w:rsidP="00E60582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$9</w:t>
            </w:r>
            <w:r w:rsidR="00C7328C">
              <w:rPr>
                <w:sz w:val="20"/>
                <w:szCs w:val="20"/>
              </w:rPr>
              <w:t>,929</w:t>
            </w:r>
            <w:r>
              <w:rPr>
                <w:sz w:val="20"/>
                <w:szCs w:val="20"/>
              </w:rPr>
              <w:t>,</w:t>
            </w:r>
            <w:r w:rsidR="00C7328C">
              <w:rPr>
                <w:sz w:val="20"/>
                <w:szCs w:val="20"/>
              </w:rPr>
              <w:t>868</w:t>
            </w:r>
          </w:p>
        </w:tc>
      </w:tr>
    </w:tbl>
    <w:p w14:paraId="6279B1E2" w14:textId="17308454" w:rsidR="000A157C" w:rsidRPr="0008538C" w:rsidRDefault="00727F5D" w:rsidP="0080017B">
      <w:pPr>
        <w:numPr>
          <w:ilvl w:val="0"/>
          <w:numId w:val="1"/>
        </w:numPr>
        <w:spacing w:before="360" w:after="120"/>
        <w:rPr>
          <w:b/>
          <w:bCs/>
        </w:rPr>
      </w:pPr>
      <w:r>
        <w:rPr>
          <w:b/>
          <w:bCs/>
        </w:rPr>
        <w:t>Project Commit</w:t>
      </w:r>
      <w:r w:rsidR="001A6826">
        <w:rPr>
          <w:b/>
          <w:bCs/>
        </w:rPr>
        <w:t>ments</w:t>
      </w:r>
      <w:r w:rsidR="00D46344">
        <w:rPr>
          <w:b/>
          <w:bCs/>
        </w:rPr>
        <w:t xml:space="preserve"> (</w:t>
      </w:r>
      <w:r w:rsidR="000B57C3">
        <w:rPr>
          <w:b/>
          <w:bCs/>
        </w:rPr>
        <w:t>From 5 YR Capital Plan</w:t>
      </w:r>
      <w:r w:rsidR="00D46344">
        <w:rPr>
          <w:b/>
          <w:bCs/>
        </w:rPr>
        <w:t>)</w:t>
      </w:r>
    </w:p>
    <w:p w14:paraId="71AA0D08" w14:textId="5158E845" w:rsidR="00ED164B" w:rsidRDefault="000A157C" w:rsidP="00EF79C0">
      <w:pPr>
        <w:tabs>
          <w:tab w:val="left" w:pos="1440"/>
        </w:tabs>
        <w:ind w:left="720"/>
        <w:jc w:val="both"/>
      </w:pPr>
      <w:r w:rsidRPr="0008538C">
        <w:t>There have been no</w:t>
      </w:r>
      <w:r w:rsidR="00F0278C">
        <w:t xml:space="preserve"> expenditures of Infrastructure Surtax funds</w:t>
      </w:r>
      <w:r w:rsidRPr="0008538C">
        <w:t xml:space="preserve"> except for items on the </w:t>
      </w:r>
      <w:r w:rsidRPr="00DF0DB1">
        <w:t>approved project list</w:t>
      </w:r>
      <w:r w:rsidR="00DF0DB1" w:rsidRPr="00DF0DB1">
        <w:t>.</w:t>
      </w:r>
      <w:r w:rsidR="008F70CF">
        <w:t xml:space="preserve"> </w:t>
      </w:r>
      <w:r w:rsidR="00D46344">
        <w:t>The approved project list was developed as part of the five-year capital plan during the budget process</w:t>
      </w:r>
      <w:r w:rsidR="00AF77C0">
        <w:t xml:space="preserve"> and are shown below</w:t>
      </w:r>
      <w:r w:rsidR="0007261A">
        <w:t xml:space="preserve"> for both FY2</w:t>
      </w:r>
      <w:r w:rsidR="00227003">
        <w:t>2</w:t>
      </w:r>
      <w:r w:rsidR="0007261A">
        <w:t xml:space="preserve"> and FY2</w:t>
      </w:r>
      <w:r w:rsidR="00227003">
        <w:t>3</w:t>
      </w:r>
      <w:r w:rsidR="0007261A">
        <w:t>.</w:t>
      </w:r>
    </w:p>
    <w:tbl>
      <w:tblPr>
        <w:tblpPr w:leftFromText="180" w:rightFromText="180" w:vertAnchor="text" w:horzAnchor="margin" w:tblpXSpec="center" w:tblpY="416"/>
        <w:tblW w:w="9144" w:type="dxa"/>
        <w:tblLook w:val="04A0" w:firstRow="1" w:lastRow="0" w:firstColumn="1" w:lastColumn="0" w:noHBand="0" w:noVBand="1"/>
      </w:tblPr>
      <w:tblGrid>
        <w:gridCol w:w="4220"/>
        <w:gridCol w:w="1584"/>
        <w:gridCol w:w="1756"/>
        <w:gridCol w:w="1584"/>
      </w:tblGrid>
      <w:tr w:rsidR="000B57C3" w:rsidRPr="00F30AAF" w14:paraId="00A91334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542" w14:textId="77777777" w:rsidR="000B57C3" w:rsidRPr="00F30AAF" w:rsidRDefault="000B57C3" w:rsidP="00C73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0771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31F3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FE16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</w:tr>
      <w:tr w:rsidR="000B57C3" w:rsidRPr="00F30AAF" w14:paraId="73F9BF3D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6DAE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AA78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7F27" w14:textId="77777777" w:rsidR="000B57C3" w:rsidRPr="00F30AAF" w:rsidRDefault="000B57C3" w:rsidP="00C7328C">
            <w:pPr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F8E6" w14:textId="77777777" w:rsidR="000B57C3" w:rsidRPr="00F30AAF" w:rsidRDefault="000B57C3" w:rsidP="00C7328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</w:tr>
      <w:tr w:rsidR="000B57C3" w:rsidRPr="00F30AAF" w14:paraId="16934788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6C17" w14:textId="6B3245AF" w:rsidR="000B57C3" w:rsidRPr="00F30AAF" w:rsidRDefault="000B57C3" w:rsidP="00C7328C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21-22</w:t>
            </w:r>
            <w:r w:rsidRPr="00F30AA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PROJECTS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7B9C" w14:textId="77777777" w:rsidR="000B57C3" w:rsidRPr="00F30AAF" w:rsidRDefault="000B57C3" w:rsidP="00C7328C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CD90" w14:textId="77777777" w:rsidR="000B57C3" w:rsidRPr="00F30AAF" w:rsidRDefault="000B57C3" w:rsidP="00C7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E880" w14:textId="77777777" w:rsidR="000B57C3" w:rsidRPr="00F30AAF" w:rsidRDefault="000B57C3" w:rsidP="00C732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7C3" w:rsidRPr="00F30AAF" w14:paraId="39093450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BDB03" w14:textId="0F5196F8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Battalion Vehicles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DB2E" w14:textId="33AE1659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 w:rsidRPr="00EF79C0">
              <w:rPr>
                <w:bCs/>
                <w:color w:val="000000"/>
                <w:sz w:val="20"/>
                <w:szCs w:val="20"/>
              </w:rPr>
              <w:t>$</w:t>
            </w:r>
            <w:r>
              <w:rPr>
                <w:bCs/>
                <w:color w:val="000000"/>
                <w:sz w:val="20"/>
                <w:szCs w:val="20"/>
              </w:rPr>
              <w:t>116</w:t>
            </w:r>
            <w:r w:rsidRPr="00EF79C0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4C6E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CDD6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F2C4E9F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8BB5A" w14:textId="0FFD402A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ATV and Trailer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40D1" w14:textId="56DB6B3D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B5298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C3B55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75F7D3FB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04E0" w14:textId="071FD7E4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Defibrillators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DA6B" w14:textId="3C1AEE21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1AED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F10F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5E39F409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44E9" w14:textId="701C218B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Video Airway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7AE3" w14:textId="3724F045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2FA95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3EEBD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EA5E949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3E93D" w14:textId="663CC7AF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 Extrication Equipment (Jaws of Life)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7BF8C" w14:textId="1F225691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C3766" w14:textId="0443699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62037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8500712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6F5C" w14:textId="67501CCE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Tasers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EE17" w14:textId="035FC7CE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$53,200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E81D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487A" w14:textId="265D8D76" w:rsidR="000B57C3" w:rsidRPr="00590E53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C4CE599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F86F" w14:textId="1F54C23A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In Car Cameras</w:t>
            </w:r>
            <w:r w:rsidRPr="00EF79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8B53" w14:textId="0C80D61F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$60,000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B030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14C0" w14:textId="6E08BD23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23AEAA8E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E0BF" w14:textId="0C205488" w:rsidR="000B57C3" w:rsidRPr="00F30AAF" w:rsidRDefault="000B57C3" w:rsidP="0020310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 ATV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C1C6" w14:textId="45A32426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$22,000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A03A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75A2" w14:textId="604CCD51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60221505" w14:textId="77777777" w:rsidTr="000B57C3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4A2CF" w14:textId="33F5C7DD" w:rsidR="000B57C3" w:rsidRDefault="000B57C3" w:rsidP="002031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HVAC Upgrades/Replacement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D5A9" w14:textId="77777777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F94FB" w14:textId="2DE9FAB3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19D4" w14:textId="77777777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B57C3" w:rsidRPr="00F30AAF" w14:paraId="7D8092EB" w14:textId="77777777" w:rsidTr="00F043A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D093" w14:textId="77013915" w:rsidR="000B57C3" w:rsidRDefault="000B57C3" w:rsidP="00203107">
            <w:pPr>
              <w:rPr>
                <w:color w:val="000000"/>
                <w:sz w:val="20"/>
                <w:szCs w:val="20"/>
              </w:rPr>
            </w:pPr>
            <w:r w:rsidRPr="00EF79C0">
              <w:rPr>
                <w:color w:val="000000"/>
                <w:sz w:val="20"/>
                <w:szCs w:val="20"/>
              </w:rPr>
              <w:t>Tennis C</w:t>
            </w:r>
            <w:r>
              <w:rPr>
                <w:color w:val="000000"/>
                <w:sz w:val="20"/>
                <w:szCs w:val="20"/>
              </w:rPr>
              <w:t>enter Canopies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1E604F" w14:textId="77777777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61866C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6EC143" w14:textId="7B15804F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$15,000</w:t>
            </w:r>
          </w:p>
        </w:tc>
      </w:tr>
      <w:tr w:rsidR="000B57C3" w:rsidRPr="00F30AAF" w14:paraId="7E6DFE5C" w14:textId="77777777" w:rsidTr="00F043A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E3C0" w14:textId="04F7C5A1" w:rsidR="000B57C3" w:rsidRDefault="000B57C3" w:rsidP="002031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Center Fencing (*)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0B80" w14:textId="77777777" w:rsidR="000B57C3" w:rsidRPr="00F30AAF" w:rsidRDefault="000B57C3" w:rsidP="0020310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F03AB" w14:textId="77777777" w:rsidR="000B57C3" w:rsidRPr="00F30AAF" w:rsidRDefault="000B57C3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C8C9C" w14:textId="02E856FB" w:rsidR="000B57C3" w:rsidRPr="00F30AAF" w:rsidRDefault="000B57C3" w:rsidP="002031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$120,000</w:t>
            </w:r>
          </w:p>
        </w:tc>
      </w:tr>
      <w:tr w:rsidR="002A45E5" w:rsidRPr="00F30AAF" w14:paraId="5A7C4304" w14:textId="77777777" w:rsidTr="00F043A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B4EE" w14:textId="03A57C97" w:rsidR="002A45E5" w:rsidRDefault="002A45E5" w:rsidP="002A4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AD51E" w14:textId="64540B58" w:rsidR="002A45E5" w:rsidRPr="00F30AAF" w:rsidRDefault="002A45E5" w:rsidP="00203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$329,200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ED321" w14:textId="6C60BEC7" w:rsidR="002A45E5" w:rsidRPr="00F30AAF" w:rsidRDefault="002A45E5" w:rsidP="002031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45E5">
              <w:rPr>
                <w:sz w:val="20"/>
                <w:szCs w:val="20"/>
              </w:rPr>
              <w:t>$25,000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6717A" w14:textId="5C864941" w:rsidR="002A45E5" w:rsidRDefault="002A45E5" w:rsidP="002031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$135,000</w:t>
            </w:r>
          </w:p>
        </w:tc>
      </w:tr>
    </w:tbl>
    <w:tbl>
      <w:tblPr>
        <w:tblpPr w:leftFromText="180" w:rightFromText="180" w:vertAnchor="text" w:horzAnchor="margin" w:tblpXSpec="center" w:tblpY="-641"/>
        <w:tblW w:w="9134" w:type="dxa"/>
        <w:tblLook w:val="04A0" w:firstRow="1" w:lastRow="0" w:firstColumn="1" w:lastColumn="0" w:noHBand="0" w:noVBand="1"/>
      </w:tblPr>
      <w:tblGrid>
        <w:gridCol w:w="4158"/>
        <w:gridCol w:w="1646"/>
        <w:gridCol w:w="1684"/>
        <w:gridCol w:w="1646"/>
      </w:tblGrid>
      <w:tr w:rsidR="000B57C3" w:rsidRPr="00432083" w14:paraId="07709EB5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D9FB" w14:textId="7777777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bookmarkStart w:id="1" w:name="_Hlk65598716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6E90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783B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Facility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5B2E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</w:rPr>
              <w:t>Parks</w:t>
            </w:r>
          </w:p>
        </w:tc>
      </w:tr>
      <w:tr w:rsidR="000B57C3" w:rsidRPr="00432083" w14:paraId="24377321" w14:textId="77777777" w:rsidTr="000B57C3">
        <w:trPr>
          <w:trHeight w:val="243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53A6F" w14:textId="7777777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5C09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A974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7500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bCs/>
                <w:color w:val="000000"/>
                <w:sz w:val="20"/>
                <w:szCs w:val="20"/>
                <w:u w:val="single"/>
              </w:rPr>
              <w:t>Improvements</w:t>
            </w:r>
          </w:p>
        </w:tc>
      </w:tr>
      <w:tr w:rsidR="000B57C3" w:rsidRPr="00432083" w14:paraId="1B46EA6C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917A" w14:textId="42F823B0" w:rsidR="000B57C3" w:rsidRPr="00EF79C0" w:rsidRDefault="000B57C3" w:rsidP="0007261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>FY 20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22-23</w:t>
            </w:r>
            <w:r w:rsidRPr="00EF79C0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PROJECTS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1E304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E74D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1617" w14:textId="77777777" w:rsidR="000B57C3" w:rsidRPr="00EF79C0" w:rsidRDefault="000B57C3" w:rsidP="00072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30EB27EA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E863" w14:textId="4816539D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Fire-Ambulance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C574" w14:textId="1857BEEB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$315,000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C26B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3D18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71C3D0E2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7110D" w14:textId="78988975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Fire-Stretchers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5FFC8" w14:textId="41B4CEA2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$75,000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27040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23DD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41E482E0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708E" w14:textId="20E70740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Fire-Hybrid Vehicle (Fire Marshall)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7B435" w14:textId="380AD3E0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06B5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33178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6ADB794D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9B9F" w14:textId="2033CF8C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Fire-Express Cargo Trailer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1135" w14:textId="18405C2F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EE34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1376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2A766A5B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97597" w14:textId="33B71CF7" w:rsidR="000B57C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</w:t>
            </w:r>
            <w:proofErr w:type="spellStart"/>
            <w:r>
              <w:rPr>
                <w:color w:val="000000"/>
                <w:sz w:val="20"/>
                <w:szCs w:val="20"/>
              </w:rPr>
              <w:t>Jetski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T</w:t>
            </w:r>
            <w:r w:rsidR="002A45E5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ailer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C3A6" w14:textId="295971E1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8E12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D3AE0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17696359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01AC" w14:textId="2F9E80BE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Fire-Portable Radios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EA71" w14:textId="029EDBFF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DCB69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7D98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2E200A42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4FC50" w14:textId="27A1A48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Fire-Hose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5EA1" w14:textId="5A04D1A8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30F6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22B7B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6C864F3B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4332" w14:textId="5E2FA0BA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Police-License Plate Recognition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9801" w14:textId="34CB7169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$65,000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012BD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BB53A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4B5CD9D3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78A6" w14:textId="0FAD5D0C" w:rsidR="000B57C3" w:rsidRPr="00432083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Facilities-Recreation-Roof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7FFF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580B" w14:textId="355EFA06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$35,000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61F5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0DBE969A" w14:textId="77777777" w:rsidTr="000B57C3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08708" w14:textId="11D86268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Facilities-HVAC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1379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F36D" w14:textId="04D1CEC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A113" w14:textId="77777777" w:rsidR="000B57C3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57C3" w:rsidRPr="00432083" w14:paraId="1CDBA880" w14:textId="77777777" w:rsidTr="00F043A7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4AD59" w14:textId="77777777" w:rsidR="000B57C3" w:rsidRPr="00EF79C0" w:rsidRDefault="000B57C3" w:rsidP="000726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Tennis Center Fencing (*)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B0DD1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DE6A4" w14:textId="77777777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5E1A4" w14:textId="2AFD114A" w:rsidR="000B57C3" w:rsidRPr="00EF79C0" w:rsidRDefault="000B57C3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$220,000</w:t>
            </w:r>
          </w:p>
        </w:tc>
      </w:tr>
      <w:tr w:rsidR="002A45E5" w:rsidRPr="00432083" w14:paraId="420BEF27" w14:textId="77777777" w:rsidTr="00F043A7">
        <w:trPr>
          <w:trHeight w:val="30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7C3F" w14:textId="4BCFF9E0" w:rsidR="002A45E5" w:rsidRDefault="002A45E5" w:rsidP="002A4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E86C0" w14:textId="1BC0AED9" w:rsidR="002A45E5" w:rsidRPr="00EF79C0" w:rsidRDefault="002A45E5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$530,000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47C57" w14:textId="25EF6119" w:rsidR="002A45E5" w:rsidRPr="00EF79C0" w:rsidRDefault="002A45E5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$60,000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31AE7" w14:textId="4F599174" w:rsidR="002A45E5" w:rsidRDefault="002A45E5" w:rsidP="0007261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$220,000</w:t>
            </w:r>
          </w:p>
        </w:tc>
      </w:tr>
      <w:bookmarkEnd w:id="1"/>
    </w:tbl>
    <w:p w14:paraId="31EEE741" w14:textId="77777777" w:rsidR="000B57C3" w:rsidRDefault="000B57C3" w:rsidP="000B57C3">
      <w:pPr>
        <w:tabs>
          <w:tab w:val="left" w:pos="1440"/>
        </w:tabs>
        <w:spacing w:before="720" w:after="360"/>
        <w:ind w:left="720"/>
        <w:contextualSpacing/>
      </w:pPr>
    </w:p>
    <w:p w14:paraId="4358AF4C" w14:textId="22068F6D" w:rsidR="00203107" w:rsidRDefault="00CF71B1" w:rsidP="002A45E5">
      <w:pPr>
        <w:tabs>
          <w:tab w:val="left" w:pos="1440"/>
        </w:tabs>
        <w:spacing w:before="720" w:after="240"/>
        <w:ind w:left="720"/>
        <w:contextualSpacing/>
      </w:pPr>
      <w:r>
        <w:t>* Tennis Center Fencing was amended in January 2022, to add an additional $110,000,  to move up the project</w:t>
      </w:r>
      <w:r w:rsidR="00FE2A12">
        <w:t xml:space="preserve"> in lieu of doing sections over time. </w:t>
      </w:r>
      <w:r w:rsidR="00227003">
        <w:t xml:space="preserve">A second budget amendment passed in March 2023 of $80,000 was added to the project due to inflationary costs. </w:t>
      </w:r>
      <w:r w:rsidR="000B57C3">
        <w:t>A $40,000 reimbursement is expected from Insurance Proceeds related to Hurricane Ian.</w:t>
      </w:r>
    </w:p>
    <w:p w14:paraId="31DBF6F1" w14:textId="498D0DD6" w:rsidR="000A157C" w:rsidRDefault="004575C7" w:rsidP="002A45E5">
      <w:pPr>
        <w:tabs>
          <w:tab w:val="left" w:pos="1440"/>
        </w:tabs>
        <w:spacing w:before="480" w:after="240"/>
        <w:ind w:left="720"/>
      </w:pPr>
      <w:r>
        <w:t xml:space="preserve">The </w:t>
      </w:r>
      <w:r w:rsidR="00FE2A12">
        <w:t>c</w:t>
      </w:r>
      <w:r>
        <w:t>urrent budget is shown below with respective balances</w:t>
      </w:r>
      <w:r w:rsidR="008F70CF">
        <w:t xml:space="preserve"> after </w:t>
      </w:r>
      <w:r w:rsidR="00432083">
        <w:t>FY</w:t>
      </w:r>
      <w:r w:rsidR="002718C7">
        <w:t>202</w:t>
      </w:r>
      <w:r w:rsidR="00227003">
        <w:t>3</w:t>
      </w:r>
      <w:r w:rsidR="008F70CF">
        <w:t xml:space="preserve"> </w:t>
      </w:r>
      <w:r w:rsidR="00514E8B">
        <w:t xml:space="preserve">budgeted </w:t>
      </w:r>
      <w:r w:rsidR="008F70CF">
        <w:t>expenses have been paid</w:t>
      </w:r>
      <w:r w:rsidR="002442B4">
        <w:t>, providing for a</w:t>
      </w:r>
      <w:r w:rsidR="00666B4D">
        <w:t xml:space="preserve"> rem</w:t>
      </w:r>
      <w:r w:rsidR="00A643CB">
        <w:t xml:space="preserve">aining </w:t>
      </w:r>
      <w:r w:rsidR="002442B4">
        <w:t>budget</w:t>
      </w:r>
      <w:r w:rsidR="00A643CB">
        <w:t xml:space="preserve"> </w:t>
      </w:r>
      <w:r w:rsidR="00A643CB" w:rsidRPr="003101EE">
        <w:t>of $</w:t>
      </w:r>
      <w:r w:rsidR="00F668CA">
        <w:t>1,532,800</w:t>
      </w:r>
      <w:r w:rsidR="002442B4">
        <w:t xml:space="preserve"> for future u</w:t>
      </w:r>
      <w:r w:rsidR="00F668CA">
        <w:t>se</w:t>
      </w:r>
      <w:r w:rsidR="00666B4D">
        <w:t>.</w:t>
      </w:r>
      <w:bookmarkStart w:id="2" w:name="_GoBack"/>
      <w:bookmarkEnd w:id="2"/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4220"/>
        <w:gridCol w:w="1480"/>
        <w:gridCol w:w="1620"/>
        <w:gridCol w:w="1480"/>
      </w:tblGrid>
      <w:tr w:rsidR="00432083" w:rsidRPr="00432083" w14:paraId="74CE6043" w14:textId="77777777" w:rsidTr="00432083">
        <w:trPr>
          <w:trHeight w:val="72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371E" w14:textId="77777777" w:rsidR="00432083" w:rsidRPr="00432083" w:rsidRDefault="00432083" w:rsidP="0043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633F" w14:textId="77777777"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</w:rPr>
              <w:t>PHASE III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508F" w14:textId="77777777"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</w:rPr>
              <w:t>AMOUNT EXPENDED OR COMMITTED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74A2" w14:textId="77777777"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2083" w:rsidRPr="00432083" w14:paraId="38FEDE03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DC75" w14:textId="77777777" w:rsidR="00432083" w:rsidRPr="00432083" w:rsidRDefault="00432083" w:rsidP="0043208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32083">
              <w:rPr>
                <w:b/>
                <w:bCs/>
                <w:color w:val="000000"/>
                <w:sz w:val="20"/>
                <w:szCs w:val="20"/>
                <w:u w:val="single"/>
              </w:rPr>
              <w:t>Project List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408F" w14:textId="77777777" w:rsidR="00432083" w:rsidRPr="00432083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432083">
              <w:rPr>
                <w:b/>
                <w:bCs/>
                <w:color w:val="000000"/>
                <w:sz w:val="18"/>
                <w:szCs w:val="18"/>
                <w:u w:val="single"/>
              </w:rPr>
              <w:t>ALLOCATION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6F6F" w14:textId="5BCABFB0" w:rsidR="00432083" w:rsidRPr="003101EE" w:rsidRDefault="00432083" w:rsidP="00F668AB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THROUGH FY</w:t>
            </w:r>
            <w:r w:rsidR="002718C7"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0B57C3">
              <w:rPr>
                <w:b/>
                <w:bCs/>
                <w:color w:val="000000"/>
                <w:sz w:val="18"/>
                <w:szCs w:val="18"/>
                <w:u w:val="single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EC15" w14:textId="77777777" w:rsidR="00432083" w:rsidRPr="003101EE" w:rsidRDefault="00432083" w:rsidP="00432083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101EE">
              <w:rPr>
                <w:b/>
                <w:bCs/>
                <w:color w:val="000000"/>
                <w:sz w:val="18"/>
                <w:szCs w:val="18"/>
                <w:u w:val="single"/>
              </w:rPr>
              <w:t>BALANCE</w:t>
            </w:r>
          </w:p>
        </w:tc>
      </w:tr>
      <w:tr w:rsidR="00432083" w:rsidRPr="00432083" w14:paraId="7694FED6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E0A6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Beach Nourishment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05B0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$</w:t>
            </w:r>
            <w:r w:rsidR="00F46901">
              <w:rPr>
                <w:color w:val="000000"/>
                <w:sz w:val="20"/>
                <w:szCs w:val="20"/>
              </w:rPr>
              <w:t>300,000</w:t>
            </w:r>
            <w:r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126C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$300,000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78DA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F46901">
              <w:rPr>
                <w:color w:val="000000"/>
                <w:sz w:val="20"/>
                <w:szCs w:val="20"/>
              </w:rPr>
              <w:t>0</w:t>
            </w:r>
            <w:r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083" w:rsidRPr="00432083" w14:paraId="2F65962D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4810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Streets &amp; Drainage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5A77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5A1A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6D3E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14:paraId="5EEABFFA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0E18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Park&amp; Recreation Improvements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8F13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2,</w:t>
            </w:r>
            <w:r w:rsidR="00F46901">
              <w:rPr>
                <w:color w:val="000000"/>
                <w:sz w:val="20"/>
                <w:szCs w:val="20"/>
              </w:rPr>
              <w:t>202</w:t>
            </w:r>
            <w:r w:rsidRPr="00432083">
              <w:rPr>
                <w:color w:val="000000"/>
                <w:sz w:val="20"/>
                <w:szCs w:val="20"/>
              </w:rPr>
              <w:t>,</w:t>
            </w:r>
            <w:r w:rsidR="00F46901">
              <w:rPr>
                <w:color w:val="000000"/>
                <w:sz w:val="20"/>
                <w:szCs w:val="20"/>
              </w:rPr>
              <w:t>494</w:t>
            </w:r>
            <w:r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BC5E" w14:textId="237C76C1" w:rsidR="00432083" w:rsidRPr="003101EE" w:rsidRDefault="00F668CA" w:rsidP="00F668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2,172,875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54B7" w14:textId="65A7EB26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29,619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083" w:rsidRPr="00432083" w14:paraId="662FD3DE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CF4E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Canal Dredging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DC58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034B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900,000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4098" w14:textId="77777777" w:rsidR="00432083" w:rsidRPr="003101EE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432083" w:rsidRPr="00432083" w14:paraId="21DA545C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E4E2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Safety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87E5" w14:textId="77777777" w:rsidR="00432083" w:rsidRPr="00432083" w:rsidRDefault="00F4690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668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366</w:t>
            </w:r>
            <w:r w:rsidR="00F668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3535" w14:textId="38D78A14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4,084,751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0400" w14:textId="5A1C6804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1,282,022</w:t>
            </w:r>
          </w:p>
        </w:tc>
      </w:tr>
      <w:tr w:rsidR="00432083" w:rsidRPr="00432083" w14:paraId="1F82A5E9" w14:textId="77777777" w:rsidTr="00432083">
        <w:trPr>
          <w:trHeight w:val="300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1786" w14:textId="77777777" w:rsidR="00432083" w:rsidRPr="00432083" w:rsidRDefault="00432083" w:rsidP="00432083">
            <w:pPr>
              <w:rPr>
                <w:color w:val="000000"/>
                <w:sz w:val="20"/>
                <w:szCs w:val="20"/>
              </w:rPr>
            </w:pPr>
            <w:r w:rsidRPr="00432083">
              <w:rPr>
                <w:color w:val="000000"/>
                <w:sz w:val="20"/>
                <w:szCs w:val="20"/>
              </w:rPr>
              <w:t>Public Facility Improvements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A622B" w14:textId="77777777" w:rsidR="00432083" w:rsidRPr="00432083" w:rsidRDefault="00F46901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1,160</w:t>
            </w:r>
            <w:r w:rsidR="00432083" w:rsidRPr="0043208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601</w:t>
            </w:r>
            <w:r w:rsidR="00432083" w:rsidRPr="004320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FA70" w14:textId="6FA87BAF" w:rsidR="00432083" w:rsidRPr="003101EE" w:rsidRDefault="00F668CA" w:rsidP="00F668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939,442</w:t>
            </w:r>
            <w:r w:rsidR="00432083" w:rsidRPr="003101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8D54" w14:textId="3C349158" w:rsidR="00432083" w:rsidRPr="003101EE" w:rsidRDefault="00F668CA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221,159</w:t>
            </w:r>
          </w:p>
        </w:tc>
      </w:tr>
      <w:tr w:rsidR="00432083" w:rsidRPr="00432083" w14:paraId="2071F673" w14:textId="77777777" w:rsidTr="00432083">
        <w:trPr>
          <w:trHeight w:val="315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9FAD" w14:textId="77777777" w:rsidR="00432083" w:rsidRPr="00432083" w:rsidRDefault="00432083" w:rsidP="004320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AD5A" w14:textId="77777777" w:rsidR="00432083" w:rsidRPr="00432083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$9,</w:t>
            </w:r>
            <w:r w:rsidR="00F46901">
              <w:rPr>
                <w:color w:val="000000"/>
                <w:sz w:val="20"/>
                <w:szCs w:val="20"/>
              </w:rPr>
              <w:t>929</w:t>
            </w:r>
            <w:r>
              <w:rPr>
                <w:color w:val="000000"/>
                <w:sz w:val="20"/>
                <w:szCs w:val="20"/>
              </w:rPr>
              <w:t>,</w:t>
            </w:r>
            <w:r w:rsidR="00F46901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3920" w14:textId="24BAF697" w:rsidR="00432083" w:rsidRPr="003101EE" w:rsidRDefault="00F668CA" w:rsidP="00F668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$8,397,068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205BE4" w14:textId="4B574CB6" w:rsidR="00432083" w:rsidRPr="003101EE" w:rsidRDefault="00F668AB" w:rsidP="00432083">
            <w:pPr>
              <w:jc w:val="right"/>
              <w:rPr>
                <w:color w:val="000000"/>
                <w:sz w:val="20"/>
                <w:szCs w:val="20"/>
              </w:rPr>
            </w:pPr>
            <w:r w:rsidRPr="003101EE">
              <w:rPr>
                <w:color w:val="000000"/>
                <w:sz w:val="20"/>
                <w:szCs w:val="20"/>
              </w:rPr>
              <w:t>$</w:t>
            </w:r>
            <w:r w:rsidR="00F668CA">
              <w:rPr>
                <w:color w:val="000000"/>
                <w:sz w:val="20"/>
                <w:szCs w:val="20"/>
              </w:rPr>
              <w:t>1,532,800</w:t>
            </w:r>
          </w:p>
        </w:tc>
      </w:tr>
    </w:tbl>
    <w:p w14:paraId="4F084B3B" w14:textId="77777777" w:rsidR="00120344" w:rsidRDefault="00120344" w:rsidP="0080017B">
      <w:pPr>
        <w:pStyle w:val="BodyTextIndent"/>
        <w:numPr>
          <w:ilvl w:val="0"/>
          <w:numId w:val="1"/>
        </w:numPr>
        <w:tabs>
          <w:tab w:val="clear" w:pos="1440"/>
          <w:tab w:val="num" w:pos="720"/>
        </w:tabs>
        <w:spacing w:before="360" w:after="120"/>
        <w:ind w:left="1260" w:hanging="540"/>
        <w:rPr>
          <w:b/>
        </w:rPr>
      </w:pPr>
      <w:r w:rsidRPr="00120344">
        <w:rPr>
          <w:b/>
        </w:rPr>
        <w:t>Conclusion</w:t>
      </w:r>
    </w:p>
    <w:p w14:paraId="0C3AEBC8" w14:textId="42222A21" w:rsidR="000A157C" w:rsidRDefault="00F0278C" w:rsidP="000B57C3">
      <w:pPr>
        <w:pStyle w:val="BodyTextIndent"/>
        <w:tabs>
          <w:tab w:val="clear" w:pos="1440"/>
        </w:tabs>
        <w:spacing w:after="720"/>
        <w:jc w:val="both"/>
      </w:pPr>
      <w:r>
        <w:t>The Citizen Tax Oversight C</w:t>
      </w:r>
      <w:r w:rsidR="00120344">
        <w:t>ommittee has reviewed</w:t>
      </w:r>
      <w:r w:rsidR="00E826F8">
        <w:t>, but has not verified actual,</w:t>
      </w:r>
      <w:r w:rsidR="00120344">
        <w:t xml:space="preserve"> expenditures</w:t>
      </w:r>
      <w:r w:rsidR="00E826F8">
        <w:t>,</w:t>
      </w:r>
      <w:r w:rsidR="00BA01E1">
        <w:t xml:space="preserve"> subject to the final audit report</w:t>
      </w:r>
      <w:r w:rsidR="00E826F8">
        <w:t xml:space="preserve"> to be issued,</w:t>
      </w:r>
      <w:r w:rsidR="00120344">
        <w:t xml:space="preserve"> to </w:t>
      </w:r>
      <w:r w:rsidR="00C0566A">
        <w:t>e</w:t>
      </w:r>
      <w:r w:rsidR="00120344">
        <w:t>nsure they are in accordance with the scope of the project budget and we have no findings to report to you at this time.</w:t>
      </w:r>
    </w:p>
    <w:p w14:paraId="4B7406DC" w14:textId="77777777" w:rsidR="000A157C" w:rsidRPr="0008538C" w:rsidRDefault="000A157C">
      <w:pPr>
        <w:pStyle w:val="BodyTextIndent"/>
        <w:tabs>
          <w:tab w:val="clear" w:pos="1440"/>
        </w:tabs>
        <w:ind w:left="0"/>
      </w:pPr>
      <w:r w:rsidRPr="0008538C">
        <w:t>___________________________</w:t>
      </w:r>
    </w:p>
    <w:p w14:paraId="3D381065" w14:textId="77777777" w:rsidR="000A157C" w:rsidRPr="0008538C" w:rsidRDefault="00E27970">
      <w:pPr>
        <w:pStyle w:val="BodyTextIndent"/>
        <w:tabs>
          <w:tab w:val="clear" w:pos="1440"/>
        </w:tabs>
        <w:ind w:left="0"/>
      </w:pPr>
      <w:r>
        <w:t>Paul Levine</w:t>
      </w:r>
    </w:p>
    <w:p w14:paraId="2AD9D0CE" w14:textId="78D10716" w:rsidR="000A157C" w:rsidRDefault="00F0278C">
      <w:pPr>
        <w:pStyle w:val="BodyTextIndent"/>
        <w:tabs>
          <w:tab w:val="clear" w:pos="1440"/>
        </w:tabs>
        <w:ind w:left="0"/>
      </w:pPr>
      <w:r>
        <w:t>Citizen</w:t>
      </w:r>
      <w:r w:rsidR="002A45E5">
        <w:t xml:space="preserve"> </w:t>
      </w:r>
      <w:r w:rsidR="000A157C" w:rsidRPr="0008538C">
        <w:t>Tax</w:t>
      </w:r>
      <w:r w:rsidR="000A157C">
        <w:t xml:space="preserve"> Oversight Committee</w:t>
      </w:r>
    </w:p>
    <w:sectPr w:rsidR="000A157C" w:rsidSect="002A45E5">
      <w:footerReference w:type="even" r:id="rId8"/>
      <w:footerReference w:type="default" r:id="rId9"/>
      <w:pgSz w:w="12240" w:h="15840" w:code="1"/>
      <w:pgMar w:top="1440" w:right="1296" w:bottom="432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50BA" w14:textId="77777777" w:rsidR="001E28EE" w:rsidRDefault="001E28EE">
      <w:r>
        <w:separator/>
      </w:r>
    </w:p>
  </w:endnote>
  <w:endnote w:type="continuationSeparator" w:id="0">
    <w:p w14:paraId="10ACF43E" w14:textId="77777777" w:rsidR="001E28EE" w:rsidRDefault="001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A04B" w14:textId="77777777"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D42540" w14:textId="77777777" w:rsidR="000472E1" w:rsidRDefault="00047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992B" w14:textId="77777777" w:rsidR="000472E1" w:rsidRDefault="000472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8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8AEEC6" w14:textId="77777777" w:rsidR="000472E1" w:rsidRDefault="0004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27B6" w14:textId="77777777" w:rsidR="001E28EE" w:rsidRDefault="001E28EE">
      <w:r>
        <w:separator/>
      </w:r>
    </w:p>
  </w:footnote>
  <w:footnote w:type="continuationSeparator" w:id="0">
    <w:p w14:paraId="044E55D2" w14:textId="77777777" w:rsidR="001E28EE" w:rsidRDefault="001E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642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517C1"/>
    <w:multiLevelType w:val="hybridMultilevel"/>
    <w:tmpl w:val="4A88B09E"/>
    <w:lvl w:ilvl="0" w:tplc="D7849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202A"/>
    <w:multiLevelType w:val="hybridMultilevel"/>
    <w:tmpl w:val="67ACCED6"/>
    <w:lvl w:ilvl="0" w:tplc="F926E5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BD32C3"/>
    <w:multiLevelType w:val="hybridMultilevel"/>
    <w:tmpl w:val="24AA0C8C"/>
    <w:lvl w:ilvl="0" w:tplc="40623F62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9A36134"/>
    <w:multiLevelType w:val="hybridMultilevel"/>
    <w:tmpl w:val="8806BB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8B"/>
    <w:rsid w:val="000140C4"/>
    <w:rsid w:val="000426E6"/>
    <w:rsid w:val="000472E1"/>
    <w:rsid w:val="00047EFE"/>
    <w:rsid w:val="0005428C"/>
    <w:rsid w:val="00054747"/>
    <w:rsid w:val="00056B3B"/>
    <w:rsid w:val="00056B9F"/>
    <w:rsid w:val="0007261A"/>
    <w:rsid w:val="00074F14"/>
    <w:rsid w:val="00075B4A"/>
    <w:rsid w:val="0008000B"/>
    <w:rsid w:val="0008538C"/>
    <w:rsid w:val="000A157C"/>
    <w:rsid w:val="000B57C3"/>
    <w:rsid w:val="000C5BA4"/>
    <w:rsid w:val="000D52B7"/>
    <w:rsid w:val="00120344"/>
    <w:rsid w:val="00125951"/>
    <w:rsid w:val="00132E97"/>
    <w:rsid w:val="00137FAF"/>
    <w:rsid w:val="001554CA"/>
    <w:rsid w:val="00167896"/>
    <w:rsid w:val="0017730D"/>
    <w:rsid w:val="001A59F1"/>
    <w:rsid w:val="001A6826"/>
    <w:rsid w:val="001A7324"/>
    <w:rsid w:val="001C2156"/>
    <w:rsid w:val="001C3DAA"/>
    <w:rsid w:val="001D5F3C"/>
    <w:rsid w:val="001E19BC"/>
    <w:rsid w:val="001E28EE"/>
    <w:rsid w:val="001E494F"/>
    <w:rsid w:val="00203107"/>
    <w:rsid w:val="002210CC"/>
    <w:rsid w:val="0022675A"/>
    <w:rsid w:val="00227003"/>
    <w:rsid w:val="002358A5"/>
    <w:rsid w:val="002442B4"/>
    <w:rsid w:val="002446E9"/>
    <w:rsid w:val="00261447"/>
    <w:rsid w:val="002718C7"/>
    <w:rsid w:val="002A45E5"/>
    <w:rsid w:val="002A4B77"/>
    <w:rsid w:val="003101EE"/>
    <w:rsid w:val="00310E0C"/>
    <w:rsid w:val="00311B32"/>
    <w:rsid w:val="00317BB4"/>
    <w:rsid w:val="0033290A"/>
    <w:rsid w:val="00342B1B"/>
    <w:rsid w:val="003C3757"/>
    <w:rsid w:val="00401775"/>
    <w:rsid w:val="00432083"/>
    <w:rsid w:val="004575C7"/>
    <w:rsid w:val="004648DF"/>
    <w:rsid w:val="00483569"/>
    <w:rsid w:val="0048566C"/>
    <w:rsid w:val="004912A1"/>
    <w:rsid w:val="004A459B"/>
    <w:rsid w:val="004A5FCC"/>
    <w:rsid w:val="004B31C4"/>
    <w:rsid w:val="004B5AD0"/>
    <w:rsid w:val="004B6F61"/>
    <w:rsid w:val="004E0AF0"/>
    <w:rsid w:val="004F2606"/>
    <w:rsid w:val="00514E8B"/>
    <w:rsid w:val="00531F30"/>
    <w:rsid w:val="00537BEF"/>
    <w:rsid w:val="00545510"/>
    <w:rsid w:val="005504EE"/>
    <w:rsid w:val="0055158A"/>
    <w:rsid w:val="0058623A"/>
    <w:rsid w:val="00586D53"/>
    <w:rsid w:val="00590E53"/>
    <w:rsid w:val="00592C7A"/>
    <w:rsid w:val="0059300D"/>
    <w:rsid w:val="005D42F1"/>
    <w:rsid w:val="005E36CF"/>
    <w:rsid w:val="005E5264"/>
    <w:rsid w:val="005E6E47"/>
    <w:rsid w:val="0061649A"/>
    <w:rsid w:val="00620935"/>
    <w:rsid w:val="00621EE5"/>
    <w:rsid w:val="00656743"/>
    <w:rsid w:val="0066155B"/>
    <w:rsid w:val="00666B4D"/>
    <w:rsid w:val="0068188D"/>
    <w:rsid w:val="006A2CDE"/>
    <w:rsid w:val="006A3F8F"/>
    <w:rsid w:val="006B6728"/>
    <w:rsid w:val="006C095C"/>
    <w:rsid w:val="006C4FF0"/>
    <w:rsid w:val="0070573B"/>
    <w:rsid w:val="007265FF"/>
    <w:rsid w:val="00727F5D"/>
    <w:rsid w:val="00731BBF"/>
    <w:rsid w:val="00740679"/>
    <w:rsid w:val="00756E1C"/>
    <w:rsid w:val="00783C90"/>
    <w:rsid w:val="007C35AE"/>
    <w:rsid w:val="0080017B"/>
    <w:rsid w:val="00802413"/>
    <w:rsid w:val="00812376"/>
    <w:rsid w:val="00815A29"/>
    <w:rsid w:val="008259BD"/>
    <w:rsid w:val="008E52D3"/>
    <w:rsid w:val="008F41F6"/>
    <w:rsid w:val="008F4A8B"/>
    <w:rsid w:val="008F70CF"/>
    <w:rsid w:val="009125EE"/>
    <w:rsid w:val="0093669B"/>
    <w:rsid w:val="0094150C"/>
    <w:rsid w:val="009440ED"/>
    <w:rsid w:val="009537AC"/>
    <w:rsid w:val="0096765D"/>
    <w:rsid w:val="00975582"/>
    <w:rsid w:val="00980B34"/>
    <w:rsid w:val="00982C37"/>
    <w:rsid w:val="00993F90"/>
    <w:rsid w:val="009A378F"/>
    <w:rsid w:val="009A6A4A"/>
    <w:rsid w:val="009B4C07"/>
    <w:rsid w:val="009D67DE"/>
    <w:rsid w:val="009F332B"/>
    <w:rsid w:val="00A04A19"/>
    <w:rsid w:val="00A55386"/>
    <w:rsid w:val="00A643CB"/>
    <w:rsid w:val="00A96355"/>
    <w:rsid w:val="00AF1047"/>
    <w:rsid w:val="00AF77C0"/>
    <w:rsid w:val="00B3520B"/>
    <w:rsid w:val="00B4677C"/>
    <w:rsid w:val="00B56E47"/>
    <w:rsid w:val="00B634CF"/>
    <w:rsid w:val="00B7640A"/>
    <w:rsid w:val="00BA01E1"/>
    <w:rsid w:val="00BD4BDF"/>
    <w:rsid w:val="00BF0C91"/>
    <w:rsid w:val="00C026D9"/>
    <w:rsid w:val="00C0566A"/>
    <w:rsid w:val="00C1464D"/>
    <w:rsid w:val="00C469E7"/>
    <w:rsid w:val="00C471CB"/>
    <w:rsid w:val="00C57FBC"/>
    <w:rsid w:val="00C661B4"/>
    <w:rsid w:val="00C7328C"/>
    <w:rsid w:val="00C90484"/>
    <w:rsid w:val="00CA5F92"/>
    <w:rsid w:val="00CB0125"/>
    <w:rsid w:val="00CB13B1"/>
    <w:rsid w:val="00CB5BD6"/>
    <w:rsid w:val="00CB7412"/>
    <w:rsid w:val="00CB7865"/>
    <w:rsid w:val="00CD6151"/>
    <w:rsid w:val="00CD763E"/>
    <w:rsid w:val="00CE34AB"/>
    <w:rsid w:val="00CE62C8"/>
    <w:rsid w:val="00CF5835"/>
    <w:rsid w:val="00CF71B1"/>
    <w:rsid w:val="00D2442B"/>
    <w:rsid w:val="00D403E2"/>
    <w:rsid w:val="00D43F8E"/>
    <w:rsid w:val="00D46344"/>
    <w:rsid w:val="00D50C1C"/>
    <w:rsid w:val="00D64B5E"/>
    <w:rsid w:val="00D82204"/>
    <w:rsid w:val="00D86CEA"/>
    <w:rsid w:val="00D97B6E"/>
    <w:rsid w:val="00DA2225"/>
    <w:rsid w:val="00DB3824"/>
    <w:rsid w:val="00DB40BF"/>
    <w:rsid w:val="00DC215F"/>
    <w:rsid w:val="00DD22B0"/>
    <w:rsid w:val="00DF0DB1"/>
    <w:rsid w:val="00DF7945"/>
    <w:rsid w:val="00E01583"/>
    <w:rsid w:val="00E07ECB"/>
    <w:rsid w:val="00E275E6"/>
    <w:rsid w:val="00E27970"/>
    <w:rsid w:val="00E31D18"/>
    <w:rsid w:val="00E5038D"/>
    <w:rsid w:val="00E51C3B"/>
    <w:rsid w:val="00E60582"/>
    <w:rsid w:val="00E81B72"/>
    <w:rsid w:val="00E826F8"/>
    <w:rsid w:val="00E91E56"/>
    <w:rsid w:val="00EA1F2C"/>
    <w:rsid w:val="00EB48E6"/>
    <w:rsid w:val="00EB75B0"/>
    <w:rsid w:val="00EC1465"/>
    <w:rsid w:val="00ED138E"/>
    <w:rsid w:val="00ED164B"/>
    <w:rsid w:val="00ED6D28"/>
    <w:rsid w:val="00EF40B8"/>
    <w:rsid w:val="00EF79C0"/>
    <w:rsid w:val="00F0278C"/>
    <w:rsid w:val="00F043A7"/>
    <w:rsid w:val="00F059DC"/>
    <w:rsid w:val="00F137D7"/>
    <w:rsid w:val="00F30AAF"/>
    <w:rsid w:val="00F46901"/>
    <w:rsid w:val="00F60B09"/>
    <w:rsid w:val="00F668AB"/>
    <w:rsid w:val="00F668CA"/>
    <w:rsid w:val="00F67072"/>
    <w:rsid w:val="00F7540E"/>
    <w:rsid w:val="00F80A5E"/>
    <w:rsid w:val="00F81757"/>
    <w:rsid w:val="00FA1306"/>
    <w:rsid w:val="00FA6581"/>
    <w:rsid w:val="00FD411E"/>
    <w:rsid w:val="00FE2A12"/>
    <w:rsid w:val="00FE437A"/>
    <w:rsid w:val="00FE6519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6C5B884"/>
  <w15:chartTrackingRefBased/>
  <w15:docId w15:val="{64D3123A-F943-4EC1-B3E8-C978331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16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DocumentLabel">
    <w:name w:val="Document Label"/>
    <w:basedOn w:val="Normal"/>
    <w:pPr>
      <w:keepNext/>
      <w:keepLines/>
      <w:overflowPunct w:val="0"/>
      <w:autoSpaceDE w:val="0"/>
      <w:autoSpaceDN w:val="0"/>
      <w:adjustRightInd w:val="0"/>
      <w:spacing w:before="240" w:after="360"/>
      <w:textAlignment w:val="baseline"/>
    </w:pPr>
    <w:rPr>
      <w:rFonts w:ascii="Times New Roman" w:hAnsi="Times New Roman" w:cs="Times New Roman"/>
      <w:b/>
      <w:kern w:val="28"/>
      <w:sz w:val="36"/>
      <w:szCs w:val="20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1440"/>
      </w:tabs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9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59F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E106-DDC2-4499-84BB-16E15E9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646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Town of Longboat Key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PC211</dc:creator>
  <cp:keywords/>
  <cp:lastModifiedBy>Sandi Henley</cp:lastModifiedBy>
  <cp:revision>7</cp:revision>
  <cp:lastPrinted>2021-03-12T16:00:00Z</cp:lastPrinted>
  <dcterms:created xsi:type="dcterms:W3CDTF">2023-03-27T20:20:00Z</dcterms:created>
  <dcterms:modified xsi:type="dcterms:W3CDTF">2023-04-17T14:25:00Z</dcterms:modified>
</cp:coreProperties>
</file>