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360" w:before="240"/>
        <w:jc w:val="center"/>
      </w:pPr>
      <w:r>
        <w:rPr>
          <w:rFonts w:ascii="Arial"/>
          <w:sz w:val="28"/>
          <w:color w:val="000000"/>
          <w:b w:val="1"/>
        </w:rPr>
        <w:t>Memorandum</w:t>
      </w:r>
      <w:r>
        <w:rPr>
          <w:rFonts w:ascii="Arial"/>
          <w:sz w:val="28"/>
          <w:color w:val="000000"/>
          <w:b w:val="1"/>
          <w:u w:val="single"/>
        </w:rPr>
        <w:t> </w:t>
      </w:r>
    </w:p>
    <w:p>
      <w:pPr>
        <w:ind w:end="0" w:start="0"/>
        <w:spacing w:after="360" w:before="240"/>
        <w:jc w:val="left"/>
      </w:pPr>
      <w:r>
        <w:rPr>
          <w:rFonts w:ascii="Arial"/>
          <w:sz w:val="24"/>
          <w:color w:val="000000"/>
          <w:b w:val="1"/>
        </w:rPr>
        <w:t xml:space="preserve">		DATE: </w:t>
      </w:r>
      <w:r>
        <w:rPr>
          <w:rFonts w:ascii="Arial"/>
          <w:sz w:val="24"/>
          <w:color w:val="000000"/>
          <w:b w:val="1"/>
        </w:rPr>
        <w:t>June 7</w:t>
      </w:r>
      <w:r>
        <w:rPr>
          <w:rFonts w:ascii="Arial"/>
          <w:sz w:val="24"/>
          <w:color w:val="000000"/>
          <w:b w:val="1"/>
        </w:rPr>
        <w:t>, 201</w:t>
      </w:r>
      <w:r>
        <w:rPr>
          <w:rFonts w:ascii="Arial"/>
          <w:sz w:val="24"/>
          <w:color w:val="000000"/>
          <w:b w:val="1"/>
        </w:rPr>
        <w:t>7</w:t>
      </w:r>
      <w:r>
        <w:rPr>
          <w:rFonts w:ascii="Arial"/>
          <w:sz w:val="24"/>
          <w:color w:val="000000"/>
          <w:b w:val="1"/>
        </w:rPr>
        <w:t> </w:t>
      </w:r>
    </w:p>
    <w:p>
      <w:pPr>
        <w:ind w:end="0" w:start="1440"/>
        <w:spacing w:after="240" w:before="0"/>
        <w:jc w:val="left"/>
      </w:pPr>
      <w:r>
        <w:rPr>
          <w:rFonts w:ascii="Arial"/>
          <w:sz w:val="24"/>
          <w:color w:val="000000"/>
          <w:b w:val="1"/>
        </w:rPr>
        <w:t>	TO:	</w:t>
      </w:r>
      <w:r>
        <w:rPr>
          <w:rFonts w:ascii="Arial"/>
          <w:sz w:val="24"/>
          <w:color w:val="000000"/>
          <w:b w:val="1"/>
        </w:rPr>
        <w:t>Town</w:t>
      </w:r>
      <w:r>
        <w:rPr>
          <w:rFonts w:ascii="Arial"/>
          <w:sz w:val="24"/>
          <w:color w:val="000000"/>
          <w:b w:val="1"/>
        </w:rPr>
        <w:t xml:space="preserve"> Commission		  </w:t>
      </w:r>
      <w:r>
        <w:rPr>
          <w:rFonts w:ascii="Arial"/>
          <w:sz w:val="24"/>
          <w:color w:val="000000"/>
        </w:rPr>
        <w:t>	 </w:t>
      </w:r>
    </w:p>
    <w:p>
      <w:pPr>
        <w:ind w:end="0" w:start="1440"/>
        <w:spacing w:after="240" w:before="0"/>
        <w:jc w:val="left"/>
      </w:pPr>
      <w:r>
        <w:rPr>
          <w:rFonts w:ascii="Arial"/>
          <w:sz w:val="24"/>
          <w:color w:val="000000"/>
          <w:b w:val="1"/>
        </w:rPr>
        <w:t>	FROM:	</w:t>
      </w:r>
      <w:r>
        <w:rPr>
          <w:rFonts w:ascii="Arial"/>
          <w:sz w:val="24"/>
          <w:color w:val="000000"/>
          <w:b w:val="1"/>
        </w:rPr>
        <w:t xml:space="preserve">Beverly Shapiro, </w:t>
      </w:r>
      <w:r>
        <w:rPr>
          <w:rFonts w:ascii="Arial"/>
          <w:sz w:val="24"/>
          <w:color w:val="000000"/>
          <w:b w:val="1"/>
        </w:rPr>
        <w:t>Tax oversight Committee</w:t>
      </w:r>
      <w:r>
        <w:rPr>
          <w:rFonts w:ascii="Arial"/>
          <w:sz w:val="24"/>
          <w:color w:val="000000"/>
        </w:rPr>
        <w:t> </w:t>
      </w:r>
    </w:p>
    <w:p>
      <w:pPr>
        <w:ind w:end="0" w:start="1440"/>
        <w:spacing w:after="0" w:before="0"/>
        <w:jc w:val="left"/>
      </w:pPr>
      <w:r>
        <w:rPr>
          <w:rFonts w:ascii="Arial"/>
          <w:sz w:val="24"/>
          <w:color w:val="000000"/>
          <w:b w:val="1"/>
        </w:rPr>
        <w:t xml:space="preserve">SUBJECT:	ANNUAL Committee Report </w:t>
      </w:r>
      <w:r>
        <w:rPr>
          <w:rFonts w:ascii="Arial"/>
          <w:sz w:val="24"/>
          <w:color w:val="000000"/>
        </w:rPr>
        <w:t> </w:t>
      </w:r>
    </w:p>
    <w:p>
      <w:pPr>
        <w:ind w:end="0" w:start="0"/>
        <w:spacing w:after="0" w:before="120"/>
        <w:jc w:val="both"/>
      </w:pPr>
      <w:r>
        <w:rPr>
          <w:rFonts w:ascii="Arial"/>
          <w:sz w:val="24"/>
          <w:color w:val="000000"/>
        </w:rPr>
        <w:t>The Citizens Tax Oversight Committee hel</w:t>
      </w:r>
      <w:r>
        <w:rPr>
          <w:rFonts w:ascii="Arial"/>
          <w:sz w:val="24"/>
          <w:color w:val="000000"/>
        </w:rPr>
        <w:t xml:space="preserve">d its annual meeting on </w:t>
      </w:r>
      <w:r>
        <w:rPr>
          <w:rFonts w:ascii="Arial"/>
          <w:sz w:val="24"/>
          <w:color w:val="000000"/>
        </w:rPr>
        <w:t>June</w:t>
      </w:r>
      <w:r>
        <w:rPr>
          <w:rFonts w:ascii="Arial"/>
          <w:sz w:val="24"/>
          <w:color w:val="000000"/>
        </w:rPr>
        <w:t xml:space="preserve"> </w:t>
      </w:r>
      <w:r>
        <w:rPr>
          <w:rFonts w:ascii="Arial"/>
          <w:sz w:val="24"/>
          <w:color w:val="000000"/>
        </w:rPr>
        <w:t>7</w:t>
      </w:r>
      <w:r>
        <w:rPr>
          <w:rFonts w:ascii="Arial"/>
          <w:sz w:val="24"/>
          <w:color w:val="000000"/>
        </w:rPr>
        <w:t>, 201</w:t>
      </w:r>
      <w:r>
        <w:rPr>
          <w:rFonts w:ascii="Arial"/>
          <w:sz w:val="24"/>
          <w:color w:val="000000"/>
        </w:rPr>
        <w:t>7 at 9:30am</w:t>
      </w:r>
      <w:r>
        <w:rPr>
          <w:rFonts w:ascii="Arial"/>
          <w:sz w:val="24"/>
          <w:color w:val="000000"/>
        </w:rPr>
        <w:t xml:space="preserve"> </w:t>
      </w:r>
      <w:r>
        <w:rPr>
          <w:rFonts w:ascii="Arial"/>
          <w:sz w:val="24"/>
          <w:color w:val="000000"/>
        </w:rPr>
        <w:t xml:space="preserve">at 501 Bay Isles Road </w:t>
      </w:r>
      <w:r>
        <w:rPr>
          <w:rFonts w:ascii="Arial"/>
          <w:sz w:val="24"/>
          <w:color w:val="000000"/>
        </w:rPr>
        <w:t>in the Commission Chamber and reviewed the following: </w:t>
      </w:r>
    </w:p>
    <w:p>
      <w:pPr>
        <w:ind w:end="0" w:start="0"/>
        <w:spacing w:after="0" w:before="0"/>
        <w:jc w:val="both"/>
      </w:pPr>
      <w:r>
        <w:rPr>
          <w:rFonts w:ascii="Arial"/>
          <w:sz w:val="24"/>
          <w:color w:val="000000"/>
        </w:rPr>
        <w:t> </w:t>
      </w:r>
    </w:p>
    <w:p>
      <w:pPr>
        <w:ind w:end="0" w:start="1440"/>
        <w:spacing w:after="0" w:before="0"/>
        <w:jc w:val="left"/>
        <w:numPr>
          <w:ilvl w:val="0"/>
          <w:numId w:val="1"/>
        </w:numPr>
      </w:pPr>
      <w:r>
        <w:rPr>
          <w:rFonts w:ascii="Times New Roman"/>
          <w:sz w:val="21"/>
          <w:color w:val="000000"/>
          <w:b w:val="1"/>
        </w:rPr>
        <w:t>Audited Results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 Budget Analyst reviewed the 2016 audited results of operations with the Citizens’ Tax Oversight Committee which showed that the fund balance decreased $608,845 for a total fund balance of $853,205 as follows:</w:t>
      </w:r>
      <w:r>
        <w:rPr>
          <w:rFonts w:ascii="Times New Roman"/>
          <w:sz w:val="21"/>
          <w:color w:val="000000"/>
        </w:rPr>
        <w:t> </w:t>
      </w:r>
      <w:r>
        <w:rPr>
          <w:rFonts w:ascii="Times New Roman"/>
          <w:sz w:val="21"/>
          <w:color w:val="000000"/>
        </w:rPr>
        <w:t xml:space="preserve">                         </w:t>
      </w:r>
      <w:r>
        <w:rPr>
          <w:rFonts w:ascii="Times New Roman"/>
          <w:color w:val="000000"/>
        </w:rPr>
        <w:t> </w:t>
      </w:r>
    </w:p>
    <w:p>
      <w:pPr>
        <w:ind w:end="0" w:start="1440"/>
        <w:spacing w:after="0" w:before="0"/>
        <w:jc w:val="both"/>
      </w:pPr>
    </w:p>
    <w:tbl>
      <w:tblPr>
        <w:tblW w:type="auto" w:w="0"/>
      </w:tblPr>
      <w:tblGrid>
        <w:gridCol w:w="356"/>
        <w:gridCol w:w="3936"/>
        <w:gridCol w:w="1217"/>
      </w:tblGrid>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color w:val="000000"/>
                <w:b w:val="1"/>
              </w:rPr>
              <w:t>Audited</w:t>
            </w:r>
          </w:p>
        </w:tc>
      </w:tr>
      <w:tr>
        <w:tc>
          <w:tcPr>
            <w:vAlign w:val="bottom"/>
            <w:tcMar>
              <w:start w:type="dxa" w:w="45"/>
              <w:end w:type="dxa" w:w="45"/>
              <w:top w:type="dxa" w:w="45"/>
              <w:bottom w:type="dxa" w:w="45"/>
            </w:tcMar>
          </w:tcPr>
          <w:p>
            <w:pPr>
              <w:jc w:val="center"/>
            </w:pPr>
            <w:r>
              <w:rPr>
                <w:rFonts w:ascii="Times New Roman"/>
                <w:color w:val="000000"/>
                <w:b w:val="1"/>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color w:val="000000"/>
                <w:b w:val="1"/>
              </w:rPr>
              <w:t>Actual</w:t>
            </w:r>
          </w:p>
        </w:tc>
      </w:tr>
      <w:tr>
        <w:tc>
          <w:tcPr>
            <w:vAlign w:val="bottom"/>
            <w:tcMar>
              <w:start w:type="dxa" w:w="45"/>
              <w:end w:type="dxa" w:w="45"/>
              <w:top w:type="dxa" w:w="45"/>
              <w:bottom w:type="dxa" w:w="45"/>
            </w:tcMar>
          </w:tcPr>
          <w:p>
            <w:pPr>
              <w:jc w:val="center"/>
            </w:pPr>
            <w:r>
              <w:rPr>
                <w:rFonts w:ascii="Times New Roman"/>
                <w:color w:val="000000"/>
                <w:b w:val="1"/>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color w:val="000000"/>
                <w:b w:val="1"/>
                <w:u w:val="single"/>
              </w:rPr>
              <w:t>FY2015-16</w:t>
            </w:r>
          </w:p>
        </w:tc>
      </w:tr>
      <w:tr>
        <w:tc>
          <w:tcPr>
            <w:vAlign w:val="bottom"/>
            <w:tcMar>
              <w:start w:type="dxa" w:w="45"/>
              <w:end w:type="dxa" w:w="45"/>
              <w:top w:type="dxa" w:w="45"/>
              <w:bottom w:type="dxa" w:w="45"/>
            </w:tcMar>
            <w:gridSpan w:val="2"/>
          </w:tcPr>
          <w:p>
            <w:pPr>
              <w:jc w:val="left"/>
            </w:pPr>
            <w:r>
              <w:rPr>
                <w:rFonts w:ascii="Times New Roman"/>
                <w:color w:val="000000"/>
                <w:b w:val="1"/>
              </w:rPr>
              <w:t>Revenue:</w:t>
            </w:r>
          </w:p>
        </w:tc>
        <w:tc>
          <w:tcPr>
            <w:vAlign w:val="bottom"/>
            <w:tcMar>
              <w:start w:type="dxa" w:w="45"/>
              <w:end w:type="dxa" w:w="45"/>
              <w:top w:type="dxa" w:w="45"/>
              <w:bottom w:type="dxa" w:w="45"/>
            </w:tcMar>
          </w:tcPr>
          <w:p>
            <w:pPr>
              <w:jc w:val="left"/>
            </w:pPr>
            <w:r>
              <w:rPr>
                <w:rFonts w:ascii="Times New Roman"/>
                <w:color w:val="000000"/>
                <w:b w:val="1"/>
              </w:rPr>
              <w:t> </w:t>
            </w:r>
          </w:p>
        </w:tc>
      </w:tr>
      <w:tr>
        <w:tc>
          <w:tcPr>
            <w:vAlign w:val="bottom"/>
            <w:tcMar>
              <w:start w:type="dxa" w:w="45"/>
              <w:end w:type="dxa" w:w="45"/>
              <w:top w:type="dxa" w:w="45"/>
              <w:bottom w:type="dxa" w:w="45"/>
            </w:tcMar>
          </w:tcPr>
          <w:p>
            <w:pPr>
              <w:jc w:val="center"/>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Infrastructure Surtax</w:t>
            </w:r>
          </w:p>
        </w:tc>
        <w:tc>
          <w:tcPr>
            <w:vAlign w:val="bottom"/>
            <w:tcMar>
              <w:start w:type="dxa" w:w="45"/>
              <w:end w:type="dxa" w:w="45"/>
              <w:top w:type="dxa" w:w="45"/>
              <w:bottom w:type="dxa" w:w="45"/>
            </w:tcMar>
          </w:tcPr>
          <w:p>
            <w:pPr>
              <w:jc w:val="right"/>
            </w:pPr>
            <w:r>
              <w:rPr>
                <w:rFonts w:ascii="Times New Roman"/>
                <w:color w:val="000000"/>
              </w:rPr>
              <w:t xml:space="preserve">$638,229 </w:t>
            </w:r>
          </w:p>
        </w:tc>
      </w:tr>
      <w:tr>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Net Investment Income</w:t>
            </w:r>
          </w:p>
        </w:tc>
        <w:tc>
          <w:tcPr>
            <w:vAlign w:val="bottom"/>
            <w:tcMar>
              <w:start w:type="dxa" w:w="45"/>
              <w:end w:type="dxa" w:w="45"/>
              <w:top w:type="dxa" w:w="45"/>
              <w:bottom w:type="dxa" w:w="45"/>
            </w:tcMar>
          </w:tcPr>
          <w:p>
            <w:pPr>
              <w:jc w:val="right"/>
            </w:pPr>
            <w:r>
              <w:rPr>
                <w:rFonts w:ascii="Times New Roman"/>
                <w:color w:val="000000"/>
                <w:u w:val="single"/>
              </w:rPr>
              <w:t xml:space="preserve">4,146 </w:t>
            </w:r>
          </w:p>
        </w:tc>
      </w:tr>
      <w:tr>
        <w:tc>
          <w:tcPr>
            <w:vAlign w:val="bottom"/>
            <w:tcMar>
              <w:start w:type="dxa" w:w="45"/>
              <w:end w:type="dxa" w:w="45"/>
              <w:top w:type="dxa" w:w="45"/>
              <w:bottom w:type="dxa" w:w="45"/>
            </w:tcMar>
          </w:tcPr>
          <w:p>
            <w:pPr>
              <w:jc w:val="right"/>
            </w:pPr>
            <w:r>
              <w:rPr>
                <w:rFonts w:ascii="Times New Roman"/>
                <w:color w:val="000000"/>
                <w:u w:val="single"/>
              </w:rPr>
              <w:t> </w:t>
            </w:r>
          </w:p>
        </w:tc>
        <w:tc>
          <w:tcPr>
            <w:vAlign w:val="bottom"/>
            <w:tcMar>
              <w:start w:type="dxa" w:w="45"/>
              <w:end w:type="dxa" w:w="45"/>
              <w:top w:type="dxa" w:w="45"/>
              <w:bottom w:type="dxa" w:w="45"/>
            </w:tcMar>
          </w:tcPr>
          <w:p>
            <w:pPr>
              <w:jc w:val="left"/>
            </w:pPr>
            <w:r>
              <w:rPr>
                <w:rFonts w:ascii="Times New Roman"/>
                <w:color w:val="000000"/>
              </w:rPr>
              <w:t xml:space="preserve">       </w:t>
            </w:r>
            <w:r>
              <w:rPr>
                <w:rFonts w:ascii="Times New Roman"/>
                <w:color w:val="000000"/>
                <w:b w:val="1"/>
              </w:rPr>
              <w:t>Total Revenue</w:t>
            </w:r>
          </w:p>
        </w:tc>
        <w:tc>
          <w:tcPr>
            <w:vAlign w:val="bottom"/>
            <w:tcMar>
              <w:start w:type="dxa" w:w="45"/>
              <w:end w:type="dxa" w:w="45"/>
              <w:top w:type="dxa" w:w="45"/>
              <w:bottom w:type="dxa" w:w="45"/>
            </w:tcMar>
          </w:tcPr>
          <w:p>
            <w:pPr>
              <w:jc w:val="right"/>
            </w:pPr>
            <w:r>
              <w:rPr>
                <w:rFonts w:ascii="Times New Roman"/>
                <w:color w:val="000000"/>
              </w:rPr>
              <w:t xml:space="preserve">$642,375 </w:t>
            </w:r>
          </w:p>
        </w:tc>
      </w:tr>
      <w:tr>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r>
      <w:tr>
        <w:tc>
          <w:tcPr>
            <w:vAlign w:val="bottom"/>
            <w:tcMar>
              <w:start w:type="dxa" w:w="45"/>
              <w:end w:type="dxa" w:w="45"/>
              <w:top w:type="dxa" w:w="45"/>
              <w:bottom w:type="dxa" w:w="45"/>
            </w:tcMar>
            <w:gridSpan w:val="2"/>
          </w:tcPr>
          <w:p>
            <w:pPr>
              <w:jc w:val="left"/>
            </w:pPr>
            <w:r>
              <w:rPr>
                <w:rFonts w:ascii="Times New Roman"/>
                <w:color w:val="000000"/>
                <w:b w:val="1"/>
              </w:rPr>
              <w:t>Expenditures:</w:t>
            </w:r>
          </w:p>
        </w:tc>
        <w:tc>
          <w:tcPr>
            <w:vAlign w:val="bottom"/>
            <w:tcMar>
              <w:start w:type="dxa" w:w="45"/>
              <w:end w:type="dxa" w:w="45"/>
              <w:top w:type="dxa" w:w="45"/>
              <w:bottom w:type="dxa" w:w="45"/>
            </w:tcMar>
          </w:tcPr>
          <w:p>
            <w:pPr>
              <w:jc w:val="left"/>
            </w:pPr>
            <w:r>
              <w:rPr>
                <w:rFonts w:ascii="Times New Roman"/>
                <w:color w:val="000000"/>
                <w:b w:val="1"/>
              </w:rPr>
              <w:t> </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Public Facilities - Telephone System</w:t>
            </w:r>
          </w:p>
        </w:tc>
        <w:tc>
          <w:tcPr>
            <w:vAlign w:val="bottom"/>
            <w:tcMar>
              <w:start w:type="dxa" w:w="45"/>
              <w:end w:type="dxa" w:w="45"/>
              <w:top w:type="dxa" w:w="45"/>
              <w:bottom w:type="dxa" w:w="45"/>
            </w:tcMar>
          </w:tcPr>
          <w:p>
            <w:pPr>
              <w:jc w:val="right"/>
            </w:pPr>
            <w:r>
              <w:rPr>
                <w:rFonts w:ascii="Times New Roman"/>
                <w:color w:val="000000"/>
              </w:rPr>
              <w:t xml:space="preserve">$4,337 </w:t>
            </w:r>
          </w:p>
        </w:tc>
      </w:tr>
      <w:tr>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Public Facilities - Floor Coverings</w:t>
            </w:r>
          </w:p>
        </w:tc>
        <w:tc>
          <w:tcPr>
            <w:vAlign w:val="bottom"/>
            <w:tcMar>
              <w:start w:type="dxa" w:w="45"/>
              <w:end w:type="dxa" w:w="45"/>
              <w:top w:type="dxa" w:w="45"/>
              <w:bottom w:type="dxa" w:w="45"/>
            </w:tcMar>
          </w:tcPr>
          <w:p>
            <w:pPr>
              <w:jc w:val="left"/>
            </w:pPr>
            <w:r>
              <w:rPr>
                <w:rFonts w:ascii="Times New Roman"/>
                <w:color w:val="000000"/>
              </w:rPr>
              <w:t xml:space="preserve">        7,700 </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Public Facilities - South Fire Assessment</w:t>
            </w:r>
          </w:p>
        </w:tc>
        <w:tc>
          <w:tcPr>
            <w:vAlign w:val="bottom"/>
            <w:tcMar>
              <w:start w:type="dxa" w:w="45"/>
              <w:end w:type="dxa" w:w="45"/>
              <w:top w:type="dxa" w:w="45"/>
              <w:bottom w:type="dxa" w:w="45"/>
            </w:tcMar>
          </w:tcPr>
          <w:p>
            <w:pPr>
              <w:jc w:val="left"/>
            </w:pPr>
            <w:r>
              <w:rPr>
                <w:rFonts w:ascii="Times New Roman"/>
                <w:color w:val="000000"/>
              </w:rPr>
              <w:t xml:space="preserve">        2,530 </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Parks/Rec- Transfer to Bayfront Park</w:t>
            </w:r>
          </w:p>
        </w:tc>
        <w:tc>
          <w:tcPr>
            <w:vAlign w:val="bottom"/>
            <w:tcMar>
              <w:start w:type="dxa" w:w="45"/>
              <w:end w:type="dxa" w:w="45"/>
              <w:top w:type="dxa" w:w="45"/>
              <w:bottom w:type="dxa" w:w="45"/>
            </w:tcMar>
          </w:tcPr>
          <w:p>
            <w:pPr>
              <w:jc w:val="left"/>
            </w:pPr>
            <w:r>
              <w:rPr>
                <w:rFonts w:ascii="Times New Roman"/>
                <w:color w:val="000000"/>
              </w:rPr>
              <w:t xml:space="preserve">     960,000 </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Canals - Transfer to Canal Fund</w:t>
            </w:r>
          </w:p>
        </w:tc>
        <w:tc>
          <w:tcPr>
            <w:vAlign w:val="bottom"/>
            <w:tcMar>
              <w:start w:type="dxa" w:w="45"/>
              <w:end w:type="dxa" w:w="45"/>
              <w:top w:type="dxa" w:w="45"/>
              <w:bottom w:type="dxa" w:w="45"/>
            </w:tcMar>
          </w:tcPr>
          <w:p>
            <w:pPr>
              <w:jc w:val="left"/>
            </w:pPr>
            <w:r>
              <w:rPr>
                <w:rFonts w:ascii="Times New Roman"/>
                <w:color w:val="000000"/>
              </w:rPr>
              <w:t xml:space="preserve">     200,000 </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Public Safety - Defibrillators</w:t>
            </w:r>
          </w:p>
        </w:tc>
        <w:tc>
          <w:tcPr>
            <w:vAlign w:val="bottom"/>
            <w:tcMar>
              <w:start w:type="dxa" w:w="45"/>
              <w:end w:type="dxa" w:w="45"/>
              <w:top w:type="dxa" w:w="45"/>
              <w:bottom w:type="dxa" w:w="45"/>
            </w:tcMar>
          </w:tcPr>
          <w:p>
            <w:pPr>
              <w:jc w:val="left"/>
            </w:pPr>
            <w:r>
              <w:rPr>
                <w:rFonts w:ascii="Times New Roman"/>
                <w:color w:val="000000"/>
                <w:u w:val="single"/>
              </w:rPr>
              <w:t xml:space="preserve">      76,653 </w:t>
            </w:r>
          </w:p>
        </w:tc>
      </w:tr>
      <w:tr>
        <w:tc>
          <w:tcPr>
            <w:vAlign w:val="bottom"/>
            <w:tcMar>
              <w:start w:type="dxa" w:w="45"/>
              <w:end w:type="dxa" w:w="45"/>
              <w:top w:type="dxa" w:w="45"/>
              <w:bottom w:type="dxa" w:w="45"/>
            </w:tcMar>
          </w:tcPr>
          <w:p>
            <w:pPr>
              <w:jc w:val="left"/>
            </w:pPr>
            <w:r>
              <w:rPr>
                <w:rFonts w:ascii="Times New Roman"/>
                <w:color w:val="000000"/>
                <w:u w:val="single"/>
              </w:rPr>
              <w:t> </w:t>
            </w:r>
          </w:p>
        </w:tc>
        <w:tc>
          <w:tcPr>
            <w:vAlign w:val="bottom"/>
            <w:tcMar>
              <w:start w:type="dxa" w:w="45"/>
              <w:end w:type="dxa" w:w="45"/>
              <w:top w:type="dxa" w:w="45"/>
              <w:bottom w:type="dxa" w:w="45"/>
            </w:tcMar>
          </w:tcPr>
          <w:p>
            <w:pPr>
              <w:jc w:val="left"/>
            </w:pPr>
            <w:r>
              <w:rPr>
                <w:rFonts w:ascii="Times New Roman"/>
                <w:color w:val="000000"/>
              </w:rPr>
              <w:t xml:space="preserve">       </w:t>
            </w:r>
            <w:r>
              <w:rPr>
                <w:rFonts w:ascii="Times New Roman"/>
                <w:color w:val="000000"/>
                <w:b w:val="1"/>
              </w:rPr>
              <w:t>Total Expenditures</w:t>
            </w:r>
          </w:p>
        </w:tc>
        <w:tc>
          <w:tcPr>
            <w:vAlign w:val="bottom"/>
            <w:tcMar>
              <w:start w:type="dxa" w:w="45"/>
              <w:end w:type="dxa" w:w="45"/>
              <w:top w:type="dxa" w:w="45"/>
              <w:bottom w:type="dxa" w:w="45"/>
            </w:tcMar>
          </w:tcPr>
          <w:p>
            <w:pPr>
              <w:jc w:val="right"/>
            </w:pPr>
            <w:r>
              <w:rPr>
                <w:rFonts w:ascii="Times New Roman"/>
                <w:color w:val="000000"/>
              </w:rPr>
              <w:t xml:space="preserve">$1,251,220 </w:t>
            </w:r>
          </w:p>
        </w:tc>
      </w:tr>
      <w:tr>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r>
      <w:tr>
        <w:tc>
          <w:tcPr>
            <w:vAlign w:val="bottom"/>
            <w:tcMar>
              <w:start w:type="dxa" w:w="45"/>
              <w:end w:type="dxa" w:w="45"/>
              <w:top w:type="dxa" w:w="45"/>
              <w:bottom w:type="dxa" w:w="45"/>
            </w:tcMar>
            <w:gridSpan w:val="2"/>
          </w:tcPr>
          <w:p>
            <w:pPr>
              <w:jc w:val="left"/>
            </w:pPr>
            <w:r>
              <w:rPr>
                <w:rFonts w:ascii="Times New Roman"/>
                <w:color w:val="000000"/>
              </w:rPr>
              <w:t>Revenues over expenditures</w:t>
            </w:r>
          </w:p>
        </w:tc>
        <w:tc>
          <w:tcPr>
            <w:vAlign w:val="bottom"/>
            <w:tcMar>
              <w:start w:type="dxa" w:w="45"/>
              <w:end w:type="dxa" w:w="45"/>
              <w:top w:type="dxa" w:w="45"/>
              <w:bottom w:type="dxa" w:w="45"/>
            </w:tcMar>
          </w:tcPr>
          <w:p>
            <w:pPr>
              <w:jc w:val="right"/>
            </w:pPr>
            <w:r>
              <w:rPr>
                <w:rFonts w:ascii="Times New Roman"/>
                <w:color w:val="000000"/>
                <w:u w:val="single"/>
              </w:rPr>
              <w:t>(608,845)</w:t>
            </w:r>
          </w:p>
        </w:tc>
      </w:tr>
      <w:tr>
        <w:tc>
          <w:tcPr>
            <w:vAlign w:val="bottom"/>
            <w:tcMar>
              <w:start w:type="dxa" w:w="45"/>
              <w:end w:type="dxa" w:w="45"/>
              <w:top w:type="dxa" w:w="45"/>
              <w:bottom w:type="dxa" w:w="45"/>
            </w:tcMar>
          </w:tcPr>
          <w:p>
            <w:pPr>
              <w:jc w:val="right"/>
            </w:pPr>
            <w:r>
              <w:rPr>
                <w:rFonts w:ascii="Times New Roman"/>
                <w:color w:val="000000"/>
                <w:u w:val="single"/>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r>
      <w:tr>
        <w:tc>
          <w:tcPr>
            <w:vAlign w:val="bottom"/>
            <w:tcMar>
              <w:start w:type="dxa" w:w="45"/>
              <w:end w:type="dxa" w:w="45"/>
              <w:top w:type="dxa" w:w="45"/>
              <w:bottom w:type="dxa" w:w="45"/>
            </w:tcMar>
            <w:gridSpan w:val="2"/>
          </w:tcPr>
          <w:p>
            <w:pPr>
              <w:jc w:val="left"/>
            </w:pPr>
            <w:r>
              <w:rPr>
                <w:rFonts w:ascii="Times New Roman"/>
                <w:color w:val="000000"/>
                <w:b w:val="1"/>
              </w:rPr>
              <w:t>Fund Balance, Beginning</w:t>
            </w:r>
          </w:p>
        </w:tc>
        <w:tc>
          <w:tcPr>
            <w:vAlign w:val="bottom"/>
            <w:tcMar>
              <w:start w:type="dxa" w:w="45"/>
              <w:end w:type="dxa" w:w="45"/>
              <w:top w:type="dxa" w:w="45"/>
              <w:bottom w:type="dxa" w:w="45"/>
            </w:tcMar>
          </w:tcPr>
          <w:p>
            <w:pPr>
              <w:jc w:val="right"/>
            </w:pPr>
            <w:r>
              <w:rPr>
                <w:rFonts w:ascii="Times New Roman"/>
                <w:color w:val="000000"/>
              </w:rPr>
              <w:t xml:space="preserve">$1,462,050 </w:t>
            </w:r>
          </w:p>
        </w:tc>
      </w:tr>
      <w:tr>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r>
      <w:tr>
        <w:tc>
          <w:tcPr>
            <w:vAlign w:val="bottom"/>
            <w:tcMar>
              <w:start w:type="dxa" w:w="45"/>
              <w:end w:type="dxa" w:w="45"/>
              <w:top w:type="dxa" w:w="45"/>
              <w:bottom w:type="dxa" w:w="45"/>
            </w:tcMar>
            <w:gridSpan w:val="2"/>
          </w:tcPr>
          <w:p>
            <w:pPr>
              <w:jc w:val="left"/>
            </w:pPr>
            <w:r>
              <w:rPr>
                <w:rFonts w:ascii="Times New Roman"/>
                <w:color w:val="000000"/>
                <w:b w:val="1"/>
              </w:rPr>
              <w:t>Fund Balance, Ending</w:t>
            </w:r>
          </w:p>
        </w:tc>
        <w:tc>
          <w:tcPr>
            <w:tcBorders>
              <w:top w:color="ffffff" w:sz="0" w:val="none"/>
              <w:end w:color="ffffff" w:sz="0" w:val="none"/>
              <w:bottom w:color="000000" w:sz="4" w:val="single"/>
              <w:start w:color="ffffff" w:sz="0" w:val="none"/>
            </w:tcBorders>
            <w:vAlign w:val="bottom"/>
            <w:tcMar>
              <w:start w:type="dxa" w:w="45"/>
              <w:end w:type="dxa" w:w="45"/>
              <w:top w:type="dxa" w:w="45"/>
              <w:bottom w:type="dxa" w:w="45"/>
            </w:tcMar>
          </w:tcPr>
          <w:p>
            <w:pPr>
              <w:jc w:val="right"/>
            </w:pPr>
            <w:r>
              <w:rPr>
                <w:rFonts w:ascii="Times New Roman"/>
                <w:color w:val="000000"/>
                <w:u w:val="single"/>
              </w:rPr>
              <w:t xml:space="preserve">$853,205 </w:t>
            </w:r>
          </w:p>
        </w:tc>
      </w:tr>
    </w:tbl>
    <w:p>
      <w:pPr>
        <w:ind w:end="0" w:start="0"/>
        <w:spacing w:after="0" w:before="0"/>
        <w:jc w:val="left"/>
      </w:pPr>
      <w:r>
        <w:rPr>
          <w:rFonts w:ascii="Times New Roman"/>
          <w:sz w:val="21"/>
          <w:color w:val="000000"/>
        </w:rPr>
        <w:t> </w:t>
      </w:r>
    </w:p>
    <w:p>
      <w:pPr>
        <w:ind w:end="0" w:start="1440"/>
        <w:spacing w:after="0" w:before="0"/>
        <w:jc w:val="left"/>
        <w:numPr>
          <w:ilvl w:val="0"/>
          <w:numId w:val="2"/>
        </w:numPr>
      </w:pPr>
      <w:r>
        <w:rPr>
          <w:rFonts w:ascii="Times New Roman"/>
          <w:sz w:val="21"/>
          <w:color w:val="000000"/>
          <w:b w:val="1"/>
        </w:rPr>
        <w:t>Town Process Compliance </w:t>
      </w:r>
    </w:p>
    <w:p>
      <w:pPr>
        <w:ind w:end="0" w:start="720"/>
        <w:spacing w:after="0" w:before="0"/>
        <w:jc w:val="left"/>
      </w:pPr>
      <w:r>
        <w:rPr>
          <w:rFonts w:ascii="Times New Roman"/>
          <w:sz w:val="21"/>
          <w:color w:val="000000"/>
          <w:b w:val="1"/>
        </w:rPr>
        <w:t> </w:t>
      </w:r>
    </w:p>
    <w:p>
      <w:pPr>
        <w:ind w:end="0" w:start="720"/>
        <w:spacing w:after="0" w:before="0"/>
        <w:jc w:val="both"/>
      </w:pPr>
      <w:r>
        <w:rPr>
          <w:rFonts w:ascii="Times New Roman"/>
          <w:sz w:val="21"/>
          <w:color w:val="000000"/>
        </w:rPr>
        <w:t>The Citizen Tax Oversight Committee’s role is to ensure the Town is complying with proper procedures with regards to the infrastructure surtax budget process.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 Committee has determined, based on the materials provided, that the Town has complied with the proper process regarding infrastructure surtax approvals.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 current budget covering Phase III Allocation of Funds for the period FY2009-FY2024 is presented below: </w:t>
      </w:r>
    </w:p>
    <w:p>
      <w:pPr>
        <w:ind w:end="0" w:start="720"/>
        <w:spacing w:after="0" w:before="0"/>
        <w:jc w:val="left"/>
      </w:pPr>
      <w:r>
        <w:rPr>
          <w:rFonts w:ascii="Times New Roman"/>
          <w:sz w:val="21"/>
          <w:color w:val="000000"/>
        </w:rPr>
        <w:t> </w:t>
      </w:r>
    </w:p>
    <w:tbl>
      <w:tblPr>
        <w:tblW w:type="auto" w:w="0"/>
      </w:tblPr>
      <w:tblGrid>
        <w:gridCol w:w="2921"/>
        <w:gridCol w:w="280"/>
        <w:gridCol w:w="260"/>
        <w:gridCol w:w="1360"/>
      </w:tblGrid>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sz w:val="18"/>
                <w:color w:val="000000"/>
                <w:b w:val="1"/>
              </w:rPr>
              <w:t> </w:t>
            </w:r>
          </w:p>
        </w:tc>
        <w:tc>
          <w:tcPr>
            <w:vAlign w:val="bottom"/>
            <w:tcMar>
              <w:start w:type="dxa" w:w="45"/>
              <w:end w:type="dxa" w:w="45"/>
              <w:top w:type="dxa" w:w="45"/>
              <w:bottom w:type="dxa" w:w="45"/>
            </w:tcMar>
          </w:tcPr>
          <w:p>
            <w:pPr>
              <w:jc w:val="right"/>
            </w:pPr>
            <w:r>
              <w:rPr>
                <w:rFonts w:ascii="Times New Roman"/>
                <w:sz w:val="18"/>
                <w:color w:val="000000"/>
                <w:b w:val="1"/>
              </w:rPr>
              <w:t xml:space="preserve">PHASE III </w:t>
            </w:r>
          </w:p>
        </w:tc>
      </w:tr>
      <w:tr>
        <w:tc>
          <w:tcPr>
            <w:vAlign w:val="bottom"/>
            <w:tcMar>
              <w:start w:type="dxa" w:w="45"/>
              <w:end w:type="dxa" w:w="45"/>
              <w:top w:type="dxa" w:w="45"/>
              <w:bottom w:type="dxa" w:w="45"/>
            </w:tcMar>
          </w:tcPr>
          <w:p>
            <w:pPr>
              <w:jc w:val="left"/>
            </w:pPr>
            <w:r>
              <w:rPr>
                <w:rFonts w:ascii="Times New Roman"/>
                <w:color w:val="000000"/>
                <w:b w:val="1"/>
                <w:u w:val="single"/>
                <w:textAlignment w:val="bottom"/>
              </w:rPr>
              <w:t>Project List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sz w:val="18"/>
                <w:color w:val="000000"/>
                <w:b w:val="1"/>
              </w:rPr>
              <w:t> </w:t>
            </w:r>
          </w:p>
        </w:tc>
        <w:tc>
          <w:tcPr>
            <w:vAlign w:val="bottom"/>
            <w:tcMar>
              <w:start w:type="dxa" w:w="45"/>
              <w:end w:type="dxa" w:w="45"/>
              <w:top w:type="dxa" w:w="45"/>
              <w:bottom w:type="dxa" w:w="45"/>
            </w:tcMar>
          </w:tcPr>
          <w:p>
            <w:pPr>
              <w:jc w:val="right"/>
            </w:pPr>
            <w:r>
              <w:rPr>
                <w:rFonts w:ascii="Times New Roman"/>
                <w:sz w:val="18"/>
                <w:color w:val="000000"/>
                <w:b w:val="1"/>
                <w:u w:val="single"/>
              </w:rPr>
              <w:t>ALLOCATION</w:t>
            </w:r>
          </w:p>
        </w:tc>
      </w:tr>
      <w:tr>
        <w:tc>
          <w:tcPr>
            <w:vAlign w:val="bottom"/>
            <w:tcMar>
              <w:start w:type="dxa" w:w="45"/>
              <w:end w:type="dxa" w:w="45"/>
              <w:top w:type="dxa" w:w="45"/>
              <w:bottom w:type="dxa" w:w="45"/>
            </w:tcMar>
          </w:tcPr>
          <w:p>
            <w:pPr>
              <w:jc w:val="left"/>
            </w:pPr>
            <w:r>
              <w:rPr>
                <w:rFonts w:ascii="Times New Roman"/>
                <w:color w:val="000000"/>
              </w:rPr>
              <w:t>Beach Nourishment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w:t>
            </w:r>
            <w:r>
              <w:rPr>
                <w:rFonts w:ascii="Times New Roman"/>
                <w:color w:val="000000"/>
              </w:rPr>
              <w:t>015</w:t>
            </w:r>
            <w:r>
              <w:rPr>
                <w:rFonts w:ascii="Times New Roman"/>
                <w:color w:val="000000"/>
              </w:rPr>
              <w:t>,569</w:t>
            </w:r>
          </w:p>
        </w:tc>
      </w:tr>
      <w:tr>
        <w:tc>
          <w:tcPr>
            <w:vAlign w:val="bottom"/>
            <w:tcMar>
              <w:start w:type="dxa" w:w="45"/>
              <w:end w:type="dxa" w:w="45"/>
              <w:top w:type="dxa" w:w="45"/>
              <w:bottom w:type="dxa" w:w="45"/>
            </w:tcMar>
          </w:tcPr>
          <w:p>
            <w:pPr>
              <w:jc w:val="left"/>
            </w:pPr>
            <w:r>
              <w:rPr>
                <w:rFonts w:ascii="Times New Roman"/>
                <w:color w:val="000000"/>
              </w:rPr>
              <w:t>Streets &amp; Drainage</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0</w:t>
            </w:r>
          </w:p>
        </w:tc>
      </w:tr>
      <w:tr>
        <w:tc>
          <w:tcPr>
            <w:vAlign w:val="bottom"/>
            <w:tcMar>
              <w:start w:type="dxa" w:w="45"/>
              <w:end w:type="dxa" w:w="45"/>
              <w:top w:type="dxa" w:w="45"/>
              <w:bottom w:type="dxa" w:w="45"/>
            </w:tcMar>
          </w:tcPr>
          <w:p>
            <w:pPr>
              <w:jc w:val="left"/>
            </w:pPr>
            <w:r>
              <w:rPr>
                <w:rFonts w:ascii="Times New Roman"/>
                <w:color w:val="000000"/>
              </w:rPr>
              <w:t>Park&amp; Recreation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2,922,000</w:t>
            </w:r>
          </w:p>
        </w:tc>
      </w:tr>
      <w:tr>
        <w:tc>
          <w:tcPr>
            <w:vAlign w:val="bottom"/>
            <w:tcMar>
              <w:start w:type="dxa" w:w="45"/>
              <w:end w:type="dxa" w:w="45"/>
              <w:top w:type="dxa" w:w="45"/>
              <w:bottom w:type="dxa" w:w="45"/>
            </w:tcMar>
          </w:tcPr>
          <w:p>
            <w:pPr>
              <w:jc w:val="left"/>
            </w:pPr>
            <w:r>
              <w:rPr>
                <w:rFonts w:ascii="Times New Roman"/>
                <w:color w:val="000000"/>
              </w:rPr>
              <w:t>Canal Dredging</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900,000</w:t>
            </w:r>
          </w:p>
        </w:tc>
      </w:tr>
      <w:tr>
        <w:tc>
          <w:tcPr>
            <w:vAlign w:val="bottom"/>
            <w:tcMar>
              <w:start w:type="dxa" w:w="45"/>
              <w:end w:type="dxa" w:w="45"/>
              <w:top w:type="dxa" w:w="45"/>
              <w:bottom w:type="dxa" w:w="45"/>
            </w:tcMar>
          </w:tcPr>
          <w:p>
            <w:pPr>
              <w:jc w:val="left"/>
            </w:pPr>
            <w:r>
              <w:rPr>
                <w:rFonts w:ascii="Times New Roman"/>
                <w:color w:val="000000"/>
              </w:rPr>
              <w:t>Public Safety</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w:t>
            </w:r>
            <w:r>
              <w:rPr>
                <w:rFonts w:ascii="Times New Roman"/>
                <w:color w:val="000000"/>
              </w:rPr>
              <w:t>,</w:t>
            </w:r>
            <w:r>
              <w:rPr>
                <w:rFonts w:ascii="Times New Roman"/>
                <w:color w:val="000000"/>
              </w:rPr>
              <w:t>303</w:t>
            </w:r>
            <w:r>
              <w:rPr>
                <w:rFonts w:ascii="Times New Roman"/>
                <w:color w:val="000000"/>
              </w:rPr>
              <w:t>,168</w:t>
            </w:r>
          </w:p>
        </w:tc>
      </w:tr>
      <w:tr>
        <w:tc>
          <w:tcPr>
            <w:vAlign w:val="bottom"/>
            <w:tcMar>
              <w:start w:type="dxa" w:w="45"/>
              <w:end w:type="dxa" w:w="45"/>
              <w:top w:type="dxa" w:w="45"/>
              <w:bottom w:type="dxa" w:w="45"/>
            </w:tcMar>
          </w:tcPr>
          <w:p>
            <w:pPr>
              <w:jc w:val="left"/>
            </w:pPr>
            <w:r>
              <w:rPr>
                <w:rFonts w:ascii="Times New Roman"/>
                <w:color w:val="000000"/>
              </w:rPr>
              <w:t>Public Facility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922,000</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tcBorders>
              <w:top w:color="000000" w:sz="4" w:val="single"/>
              <w:end w:color="ffffff" w:sz="0" w:val="none"/>
              <w:bottom w:color="000000" w:sz="6" w:val="double"/>
              <w:start w:color="ffffff" w:sz="0" w:val="none"/>
            </w:tcBorders>
            <w:vAlign w:val="bottom"/>
            <w:tcMar>
              <w:start w:type="dxa" w:w="45"/>
              <w:end w:type="dxa" w:w="45"/>
              <w:top w:type="dxa" w:w="45"/>
              <w:bottom w:type="dxa" w:w="45"/>
            </w:tcMar>
          </w:tcPr>
          <w:p>
            <w:pPr>
              <w:jc w:val="right"/>
            </w:pPr>
            <w:r>
              <w:rPr>
                <w:rFonts w:ascii="Times New Roman"/>
                <w:color w:val="000000"/>
              </w:rPr>
              <w:t>$</w:t>
            </w:r>
            <w:r>
              <w:rPr>
                <w:rFonts w:ascii="Times New Roman"/>
                <w:color w:val="000000"/>
              </w:rPr>
              <w:t>8,062,737</w:t>
            </w:r>
          </w:p>
        </w:tc>
      </w:tr>
    </w:tbl>
    <w:p>
      <w:pPr>
        <w:ind w:end="0" w:start="720"/>
        <w:spacing w:after="0" w:before="0"/>
        <w:jc w:val="both"/>
      </w:pPr>
      <w:r>
        <w:rPr>
          <w:rFonts w:ascii="Times New Roman"/>
          <w:sz w:val="21"/>
          <w:color w:val="000000"/>
        </w:rPr>
        <w:t>Resolution 2016-17, passed on July 5, 2016, amended the allocation by moving $715,000 from the Beach Nourishment Functional Area to the Public Safety Function.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1440"/>
        <w:spacing w:after="0" w:before="0"/>
        <w:jc w:val="left"/>
        <w:numPr>
          <w:ilvl w:val="0"/>
          <w:numId w:val="3"/>
        </w:numPr>
      </w:pPr>
      <w:r>
        <w:rPr>
          <w:rFonts w:ascii="Times New Roman"/>
          <w:sz w:val="21"/>
          <w:color w:val="000000"/>
          <w:b w:val="1"/>
        </w:rPr>
        <w:t>Project Commit</w:t>
      </w:r>
      <w:r>
        <w:rPr>
          <w:rFonts w:ascii="Times New Roman"/>
          <w:sz w:val="21"/>
          <w:color w:val="000000"/>
          <w:b w:val="1"/>
        </w:rPr>
        <w:t>ments</w:t>
      </w:r>
      <w:r>
        <w:rPr>
          <w:rFonts w:ascii="Times New Roman"/>
          <w:sz w:val="21"/>
          <w:color w:val="000000"/>
          <w:b w:val="1"/>
        </w:rPr>
        <w:t xml:space="preserve"> (Budget)</w:t>
      </w:r>
      <w:r>
        <w:rPr>
          <w:rFonts w:ascii="Times New Roman"/>
          <w:sz w:val="21"/>
          <w:color w:val="000000"/>
          <w:b w:val="1"/>
        </w:rPr>
        <w:t>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There have been no expenditures of Infrastructure Surtax funds except for items on the approved project list. The approved project list was developed as part of the five-year capital plan during the budget process.  The project lists for FY2016 and FY2017 are shown below and on page 3: </w:t>
      </w:r>
    </w:p>
    <w:p>
      <w:pPr>
        <w:ind w:end="0" w:start="720"/>
        <w:spacing w:after="0" w:before="0"/>
        <w:jc w:val="both"/>
      </w:pPr>
      <w:r>
        <w:rPr>
          <w:rFonts w:ascii="Times New Roman"/>
          <w:sz w:val="21"/>
          <w:color w:val="000000"/>
        </w:rPr>
        <w:t> </w:t>
      </w:r>
    </w:p>
    <w:tbl>
      <w:tblPr>
        <w:tblW w:type="auto" w:w="0"/>
      </w:tblPr>
      <w:tblGrid>
        <w:gridCol w:w="2880"/>
        <w:gridCol w:w="1620"/>
        <w:gridCol w:w="1584"/>
        <w:gridCol w:w="1584"/>
        <w:gridCol w:w="1332"/>
      </w:tblGrid>
      <w:tr>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b w:val="1"/>
              </w:rPr>
              <w:t>Public Safety</w:t>
            </w:r>
          </w:p>
        </w:tc>
        <w:tc>
          <w:tcPr>
            <w:vAlign w:val="center"/>
            <w:tcMar>
              <w:start w:type="dxa" w:w="45"/>
              <w:end w:type="dxa" w:w="45"/>
              <w:top w:type="dxa" w:w="45"/>
              <w:bottom w:type="dxa" w:w="45"/>
            </w:tcMar>
          </w:tcPr>
          <w:p>
            <w:pPr>
              <w:jc w:val="center"/>
            </w:pPr>
            <w:r>
              <w:rPr>
                <w:rFonts w:ascii="Times New Roman"/>
                <w:color w:val="000000"/>
                <w:b w:val="1"/>
              </w:rPr>
              <w:t>Facility</w:t>
            </w:r>
          </w:p>
        </w:tc>
        <w:tc>
          <w:tcPr>
            <w:vAlign w:val="center"/>
            <w:tcMar>
              <w:start w:type="dxa" w:w="45"/>
              <w:end w:type="dxa" w:w="45"/>
              <w:top w:type="dxa" w:w="45"/>
              <w:bottom w:type="dxa" w:w="45"/>
            </w:tcMar>
          </w:tcPr>
          <w:p>
            <w:pPr>
              <w:jc w:val="center"/>
            </w:pPr>
            <w:r>
              <w:rPr>
                <w:rFonts w:ascii="Times New Roman"/>
                <w:color w:val="000000"/>
                <w:b w:val="1"/>
              </w:rPr>
              <w:t>Parks</w:t>
            </w:r>
          </w:p>
        </w:tc>
        <w:tc>
          <w:tcPr>
            <w:vAlign w:val="center"/>
            <w:tcMar>
              <w:start w:type="dxa" w:w="45"/>
              <w:end w:type="dxa" w:w="45"/>
              <w:top w:type="dxa" w:w="45"/>
              <w:bottom w:type="dxa" w:w="45"/>
            </w:tcMar>
          </w:tcPr>
          <w:p>
            <w:pPr>
              <w:jc w:val="center"/>
            </w:pPr>
            <w:r>
              <w:rPr>
                <w:rFonts w:ascii="Times New Roman"/>
                <w:color w:val="000000"/>
                <w:b w:val="1"/>
              </w:rPr>
              <w:t>Canal</w:t>
            </w:r>
          </w:p>
        </w:tc>
      </w:tr>
      <w:tr>
        <w:tc>
          <w:tcPr>
            <w:vAlign w:val="center"/>
            <w:tcMar>
              <w:start w:type="dxa" w:w="45"/>
              <w:end w:type="dxa" w:w="45"/>
              <w:top w:type="dxa" w:w="45"/>
              <w:bottom w:type="dxa" w:w="45"/>
            </w:tcMar>
          </w:tcPr>
          <w:p>
            <w:pPr>
              <w:jc w:val="left"/>
            </w:pPr>
            <w:r>
              <w:rPr>
                <w:rFonts w:ascii="Times New Roman"/>
                <w:color w:val="000000"/>
                <w:b w:val="1"/>
                <w:u w:val="single"/>
              </w:rPr>
              <w:t>FY 2015-16</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c>
          <w:tcPr>
            <w:vAlign w:val="center"/>
            <w:tcMar>
              <w:start w:type="dxa" w:w="45"/>
              <w:end w:type="dxa" w:w="45"/>
              <w:top w:type="dxa" w:w="45"/>
              <w:bottom w:type="dxa" w:w="45"/>
            </w:tcMar>
          </w:tcPr>
          <w:p>
            <w:pPr>
              <w:jc w:val="right"/>
            </w:pPr>
            <w:r>
              <w:rPr>
                <w:rFonts w:ascii="Times New Roman"/>
                <w:color w:val="000000"/>
                <w:b w:val="1"/>
                <w:u w:val="single"/>
              </w:rPr>
              <w:t>Improvements</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c>
          <w:tcPr>
            <w:vAlign w:val="center"/>
            <w:tcMar>
              <w:start w:type="dxa" w:w="45"/>
              <w:end w:type="dxa" w:w="45"/>
              <w:top w:type="dxa" w:w="45"/>
              <w:bottom w:type="dxa" w:w="45"/>
            </w:tcMar>
          </w:tcPr>
          <w:p>
            <w:pPr>
              <w:jc w:val="center"/>
            </w:pPr>
            <w:r>
              <w:rPr>
                <w:rFonts w:ascii="Times New Roman"/>
                <w:color w:val="000000"/>
                <w:b w:val="1"/>
                <w:u w:val="single"/>
              </w:rPr>
              <w:t>Dredging</w:t>
            </w:r>
          </w:p>
        </w:tc>
      </w:tr>
      <w:tr>
        <w:tc>
          <w:tcPr>
            <w:vAlign w:val="center"/>
            <w:tcMar>
              <w:start w:type="dxa" w:w="45"/>
              <w:end w:type="dxa" w:w="45"/>
              <w:top w:type="dxa" w:w="45"/>
              <w:bottom w:type="dxa" w:w="45"/>
            </w:tcMar>
          </w:tcPr>
          <w:p>
            <w:pPr>
              <w:jc w:val="left"/>
            </w:pPr>
            <w:r>
              <w:rPr>
                <w:rFonts w:ascii="Times New Roman"/>
                <w:color w:val="000000"/>
              </w:rPr>
              <w:t xml:space="preserve">Fire Defibrillators </w:t>
            </w:r>
          </w:p>
        </w:tc>
        <w:tc>
          <w:tcPr>
            <w:vAlign w:val="center"/>
            <w:tcMar>
              <w:start w:type="dxa" w:w="45"/>
              <w:end w:type="dxa" w:w="45"/>
              <w:top w:type="dxa" w:w="45"/>
              <w:bottom w:type="dxa" w:w="45"/>
            </w:tcMar>
          </w:tcPr>
          <w:p>
            <w:pPr>
              <w:jc w:val="right"/>
            </w:pPr>
            <w:r>
              <w:rPr>
                <w:rFonts w:ascii="Times New Roman"/>
                <w:color w:val="000000"/>
              </w:rPr>
              <w:t xml:space="preserve">$80,001 </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Town Hall Improvements</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xml:space="preserve">$165,000 </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Bayfront Park Project</w:t>
            </w:r>
          </w:p>
        </w:tc>
        <w:tc>
          <w:tcPr>
            <w:vAlign w:val="center"/>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xml:space="preserve">$960,000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 xml:space="preserve">Canal Dredging </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xml:space="preserve">$200,000 </w:t>
            </w:r>
          </w:p>
        </w:tc>
      </w:tr>
    </w:tbl>
    <w:p>
      <w:pPr>
        <w:ind w:end="0" w:start="720"/>
        <w:spacing w:after="0" w:before="0"/>
        <w:jc w:val="both"/>
      </w:pPr>
      <w:r>
        <w:rPr>
          <w:rFonts w:ascii="Times New Roman"/>
          <w:sz w:val="21"/>
          <w:color w:val="000000"/>
        </w:rPr>
        <w:t> </w:t>
      </w:r>
    </w:p>
    <w:tbl>
      <w:tblPr>
        <w:tblW w:type="auto" w:w="0"/>
      </w:tblPr>
      <w:tblGrid>
        <w:gridCol w:w="4236"/>
        <w:gridCol w:w="1584"/>
        <w:gridCol w:w="1584"/>
        <w:gridCol w:w="1584"/>
      </w:tblGrid>
      <w:tr>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b w:val="1"/>
              </w:rPr>
              <w:t>Public Safety</w:t>
            </w:r>
          </w:p>
        </w:tc>
        <w:tc>
          <w:tcPr>
            <w:vAlign w:val="center"/>
            <w:tcMar>
              <w:start w:type="dxa" w:w="45"/>
              <w:end w:type="dxa" w:w="45"/>
              <w:top w:type="dxa" w:w="45"/>
              <w:bottom w:type="dxa" w:w="45"/>
            </w:tcMar>
          </w:tcPr>
          <w:p>
            <w:pPr>
              <w:jc w:val="center"/>
            </w:pPr>
            <w:r>
              <w:rPr>
                <w:rFonts w:ascii="Times New Roman"/>
                <w:color w:val="000000"/>
                <w:b w:val="1"/>
              </w:rPr>
              <w:t>Facility</w:t>
            </w:r>
          </w:p>
        </w:tc>
        <w:tc>
          <w:tcPr>
            <w:vAlign w:val="center"/>
            <w:tcMar>
              <w:start w:type="dxa" w:w="45"/>
              <w:end w:type="dxa" w:w="45"/>
              <w:top w:type="dxa" w:w="45"/>
              <w:bottom w:type="dxa" w:w="45"/>
            </w:tcMar>
          </w:tcPr>
          <w:p>
            <w:pPr>
              <w:jc w:val="center"/>
            </w:pPr>
            <w:r>
              <w:rPr>
                <w:rFonts w:ascii="Times New Roman"/>
                <w:color w:val="000000"/>
                <w:b w:val="1"/>
              </w:rPr>
              <w:t>Parks</w:t>
            </w:r>
          </w:p>
        </w:tc>
      </w:tr>
      <w:tr>
        <w:tc>
          <w:tcPr>
            <w:vAlign w:val="center"/>
            <w:tcMar>
              <w:start w:type="dxa" w:w="45"/>
              <w:end w:type="dxa" w:w="45"/>
              <w:top w:type="dxa" w:w="45"/>
              <w:bottom w:type="dxa" w:w="45"/>
            </w:tcMar>
          </w:tcPr>
          <w:p>
            <w:pPr>
              <w:jc w:val="left"/>
            </w:pPr>
            <w:r>
              <w:rPr>
                <w:rFonts w:ascii="Times New Roman"/>
                <w:color w:val="000000"/>
                <w:b w:val="1"/>
                <w:u w:val="single"/>
              </w:rPr>
              <w:t>FY 2016-17</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c>
          <w:tcPr>
            <w:vAlign w:val="center"/>
            <w:tcMar>
              <w:start w:type="dxa" w:w="45"/>
              <w:end w:type="dxa" w:w="45"/>
              <w:top w:type="dxa" w:w="45"/>
              <w:bottom w:type="dxa" w:w="45"/>
            </w:tcMar>
          </w:tcPr>
          <w:p>
            <w:pPr>
              <w:jc w:val="right"/>
            </w:pPr>
            <w:r>
              <w:rPr>
                <w:rFonts w:ascii="Times New Roman"/>
                <w:color w:val="000000"/>
                <w:b w:val="1"/>
                <w:u w:val="single"/>
              </w:rPr>
              <w:t>Improvements</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r>
      <w:tr>
        <w:tc>
          <w:tcPr>
            <w:vAlign w:val="center"/>
            <w:tcMar>
              <w:start w:type="dxa" w:w="45"/>
              <w:end w:type="dxa" w:w="45"/>
              <w:top w:type="dxa" w:w="45"/>
              <w:bottom w:type="dxa" w:w="45"/>
            </w:tcMar>
          </w:tcPr>
          <w:p>
            <w:pPr>
              <w:jc w:val="left"/>
            </w:pPr>
            <w:r>
              <w:rPr>
                <w:rFonts w:ascii="Times New Roman"/>
                <w:color w:val="000000"/>
              </w:rPr>
              <w:t>Patrol Vehicles</w:t>
            </w:r>
          </w:p>
        </w:tc>
        <w:tc>
          <w:tcPr>
            <w:vAlign w:val="center"/>
            <w:tcMar>
              <w:start w:type="dxa" w:w="45"/>
              <w:end w:type="dxa" w:w="45"/>
              <w:top w:type="dxa" w:w="45"/>
              <w:bottom w:type="dxa" w:w="45"/>
            </w:tcMar>
          </w:tcPr>
          <w:p>
            <w:pPr>
              <w:jc w:val="right"/>
            </w:pPr>
            <w:r>
              <w:rPr>
                <w:rFonts w:ascii="Times New Roman"/>
                <w:color w:val="000000"/>
              </w:rPr>
              <w:t xml:space="preserve">$100,000 </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Police - Radio Enhancements</w:t>
            </w:r>
          </w:p>
        </w:tc>
        <w:tc>
          <w:tcPr>
            <w:vAlign w:val="center"/>
            <w:tcMar>
              <w:start w:type="dxa" w:w="45"/>
              <w:end w:type="dxa" w:w="45"/>
              <w:top w:type="dxa" w:w="45"/>
              <w:bottom w:type="dxa" w:w="45"/>
            </w:tcMar>
          </w:tcPr>
          <w:p>
            <w:pPr>
              <w:jc w:val="right"/>
            </w:pPr>
            <w:r>
              <w:rPr>
                <w:rFonts w:ascii="Times New Roman"/>
                <w:color w:val="000000"/>
              </w:rPr>
              <w:t xml:space="preserve">$30,000 </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Fire - Ambulance</w:t>
            </w:r>
          </w:p>
        </w:tc>
        <w:tc>
          <w:tcPr>
            <w:vAlign w:val="center"/>
            <w:tcMar>
              <w:start w:type="dxa" w:w="45"/>
              <w:end w:type="dxa" w:w="45"/>
              <w:top w:type="dxa" w:w="45"/>
              <w:bottom w:type="dxa" w:w="45"/>
            </w:tcMar>
          </w:tcPr>
          <w:p>
            <w:pPr>
              <w:jc w:val="right"/>
            </w:pPr>
            <w:r>
              <w:rPr>
                <w:rFonts w:ascii="Times New Roman"/>
                <w:color w:val="000000"/>
              </w:rPr>
              <w:t xml:space="preserve">$315,000 </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HVAC Upgrades</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xml:space="preserve">$80,000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Police Building Improvements (Structural)</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xml:space="preserve">$20,000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Police Station Roof</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xml:space="preserve">$35,000 </w:t>
            </w:r>
          </w:p>
        </w:tc>
        <w:tc>
          <w:tcPr>
            <w:vAlign w:val="center"/>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Tennis Center Fencing and Court Resurface</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xml:space="preserve">$37,000 </w:t>
            </w:r>
          </w:p>
        </w:tc>
      </w:tr>
      <w:tr>
        <w:tc>
          <w:tcPr>
            <w:vAlign w:val="center"/>
            <w:tcMar>
              <w:start w:type="dxa" w:w="45"/>
              <w:end w:type="dxa" w:w="45"/>
              <w:top w:type="dxa" w:w="45"/>
              <w:bottom w:type="dxa" w:w="45"/>
            </w:tcMar>
          </w:tcPr>
          <w:p>
            <w:pPr>
              <w:jc w:val="left"/>
            </w:pPr>
            <w:r>
              <w:rPr>
                <w:rFonts w:ascii="Times New Roman"/>
                <w:color w:val="000000"/>
              </w:rPr>
              <w:t>Bayfront Park Project</w:t>
            </w:r>
          </w:p>
        </w:tc>
        <w:tc>
          <w:tcPr>
            <w:vAlign w:val="center"/>
            <w:tcMar>
              <w:start w:type="dxa" w:w="45"/>
              <w:end w:type="dxa" w:w="45"/>
              <w:top w:type="dxa" w:w="45"/>
              <w:bottom w:type="dxa" w:w="45"/>
            </w:tcMar>
          </w:tcPr>
          <w:p>
            <w:pPr>
              <w:jc w:val="right"/>
            </w:pPr>
            <w:r>
              <w:rPr>
                <w:rFonts w:ascii="Times New Roman"/>
                <w:color w:val="000000"/>
              </w:rPr>
              <w:t xml:space="preserve">          </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xml:space="preserve">$300,000 </w:t>
            </w:r>
          </w:p>
        </w:tc>
      </w:tr>
    </w:tbl>
    <w:p>
      <w:pPr>
        <w:ind w:end="0" w:start="0"/>
        <w:spacing w:after="0" w:before="0"/>
        <w:jc w:val="both"/>
      </w:pPr>
      <w:r>
        <w:rPr>
          <w:rFonts w:ascii="Times New Roman"/>
          <w:sz w:val="21"/>
          <w:color w:val="000000"/>
        </w:rPr>
        <w:t>The Current budget is shown below with respective balances after FY2016-17 expenses have been paid, providing for a remaining budget of $3,735,251 for future use.  </w:t>
      </w:r>
    </w:p>
    <w:p>
      <w:pPr>
        <w:ind w:end="0" w:start="0"/>
        <w:spacing w:after="0" w:before="0"/>
        <w:jc w:val="both"/>
      </w:pPr>
      <w:r>
        <w:rPr>
          <w:rFonts w:ascii="Times New Roman"/>
          <w:sz w:val="21"/>
          <w:color w:val="000000"/>
        </w:rPr>
        <w:t> </w:t>
      </w:r>
    </w:p>
    <w:tbl>
      <w:tblPr>
        <w:tblW w:type="auto" w:w="0"/>
      </w:tblPr>
      <w:tblGrid>
        <w:gridCol w:w="3120"/>
        <w:gridCol w:w="1480"/>
        <w:gridCol w:w="1480"/>
        <w:gridCol w:w="1480"/>
      </w:tblGrid>
      <w:tr>
        <w:tc>
          <w:tcPr>
            <w:vAlign w:val="center"/>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sz w:val="18"/>
                <w:color w:val="000000"/>
                <w:b w:val="1"/>
              </w:rPr>
              <w:t>PHASE III</w:t>
            </w:r>
          </w:p>
        </w:tc>
        <w:tc>
          <w:tcPr>
            <w:vAlign w:val="center"/>
            <w:tcMar>
              <w:start w:type="dxa" w:w="45"/>
              <w:end w:type="dxa" w:w="45"/>
              <w:top w:type="dxa" w:w="45"/>
              <w:bottom w:type="dxa" w:w="45"/>
            </w:tcMar>
          </w:tcPr>
          <w:p>
            <w:pPr>
              <w:jc w:val="center"/>
            </w:pPr>
            <w:r>
              <w:rPr>
                <w:rFonts w:ascii="Times New Roman"/>
                <w:sz w:val="18"/>
                <w:color w:val="000000"/>
                <w:b w:val="1"/>
              </w:rPr>
              <w:t>AMOUNT EXPENDED OR COMMITTED</w:t>
            </w:r>
          </w:p>
        </w:tc>
        <w:tc>
          <w:tcPr>
            <w:vAlign w:val="center"/>
            <w:tcMar>
              <w:start w:type="dxa" w:w="45"/>
              <w:end w:type="dxa" w:w="45"/>
              <w:top w:type="dxa" w:w="45"/>
              <w:bottom w:type="dxa" w:w="45"/>
            </w:tcMar>
          </w:tcPr>
          <w:p>
            <w:pPr>
              <w:jc w:val="center"/>
            </w:pPr>
            <w:r>
              <w:rPr>
                <w:rFonts w:ascii="Times New Roman"/>
                <w:sz w:val="18"/>
                <w:color w:val="000000"/>
                <w:b w:val="1"/>
              </w:rPr>
              <w:t> </w:t>
            </w:r>
          </w:p>
        </w:tc>
      </w:tr>
      <w:tr>
        <w:tc>
          <w:tcPr>
            <w:vAlign w:val="center"/>
            <w:tcMar>
              <w:start w:type="dxa" w:w="45"/>
              <w:end w:type="dxa" w:w="45"/>
              <w:top w:type="dxa" w:w="45"/>
              <w:bottom w:type="dxa" w:w="45"/>
            </w:tcMar>
          </w:tcPr>
          <w:p>
            <w:pPr>
              <w:jc w:val="left"/>
            </w:pPr>
            <w:r>
              <w:rPr>
                <w:rFonts w:ascii="Times New Roman"/>
                <w:color w:val="000000"/>
                <w:b w:val="1"/>
                <w:u w:val="single"/>
              </w:rPr>
              <w:t>Project List</w:t>
            </w:r>
          </w:p>
        </w:tc>
        <w:tc>
          <w:tcPr>
            <w:vAlign w:val="center"/>
            <w:tcMar>
              <w:start w:type="dxa" w:w="45"/>
              <w:end w:type="dxa" w:w="45"/>
              <w:top w:type="dxa" w:w="45"/>
              <w:bottom w:type="dxa" w:w="45"/>
            </w:tcMar>
          </w:tcPr>
          <w:p>
            <w:pPr>
              <w:jc w:val="center"/>
            </w:pPr>
            <w:r>
              <w:rPr>
                <w:rFonts w:ascii="Times New Roman"/>
                <w:sz w:val="18"/>
                <w:color w:val="000000"/>
                <w:b w:val="1"/>
                <w:u w:val="single"/>
              </w:rPr>
              <w:t>ALLOCATION</w:t>
            </w:r>
          </w:p>
        </w:tc>
        <w:tc>
          <w:tcPr>
            <w:vAlign w:val="center"/>
            <w:tcMar>
              <w:start w:type="dxa" w:w="45"/>
              <w:end w:type="dxa" w:w="45"/>
              <w:top w:type="dxa" w:w="45"/>
              <w:bottom w:type="dxa" w:w="45"/>
            </w:tcMar>
          </w:tcPr>
          <w:p>
            <w:pPr>
              <w:jc w:val="center"/>
            </w:pPr>
            <w:r>
              <w:rPr>
                <w:rFonts w:ascii="Times New Roman"/>
                <w:sz w:val="18"/>
                <w:color w:val="000000"/>
                <w:b w:val="1"/>
                <w:u w:val="single"/>
              </w:rPr>
              <w:t>THROUGH FY17</w:t>
            </w:r>
          </w:p>
        </w:tc>
        <w:tc>
          <w:tcPr>
            <w:vAlign w:val="center"/>
            <w:tcMar>
              <w:start w:type="dxa" w:w="45"/>
              <w:end w:type="dxa" w:w="45"/>
              <w:top w:type="dxa" w:w="45"/>
              <w:bottom w:type="dxa" w:w="45"/>
            </w:tcMar>
          </w:tcPr>
          <w:p>
            <w:pPr>
              <w:jc w:val="center"/>
            </w:pPr>
            <w:r>
              <w:rPr>
                <w:rFonts w:ascii="Times New Roman"/>
                <w:sz w:val="18"/>
                <w:color w:val="000000"/>
                <w:b w:val="1"/>
                <w:u w:val="single"/>
              </w:rPr>
              <w:t>BALANCE</w:t>
            </w:r>
          </w:p>
        </w:tc>
      </w:tr>
      <w:tr>
        <w:tc>
          <w:tcPr>
            <w:vAlign w:val="center"/>
            <w:tcMar>
              <w:start w:type="dxa" w:w="45"/>
              <w:end w:type="dxa" w:w="45"/>
              <w:top w:type="dxa" w:w="45"/>
              <w:bottom w:type="dxa" w:w="45"/>
            </w:tcMar>
          </w:tcPr>
          <w:p>
            <w:pPr>
              <w:jc w:val="left"/>
            </w:pPr>
            <w:r>
              <w:rPr>
                <w:rFonts w:ascii="Times New Roman"/>
                <w:color w:val="000000"/>
              </w:rPr>
              <w:t>Beach Nourishment</w:t>
            </w:r>
          </w:p>
        </w:tc>
        <w:tc>
          <w:tcPr>
            <w:vAlign w:val="center"/>
            <w:tcMar>
              <w:start w:type="dxa" w:w="45"/>
              <w:end w:type="dxa" w:w="45"/>
              <w:top w:type="dxa" w:w="45"/>
              <w:bottom w:type="dxa" w:w="45"/>
            </w:tcMar>
          </w:tcPr>
          <w:p>
            <w:pPr>
              <w:jc w:val="right"/>
            </w:pPr>
            <w:r>
              <w:rPr>
                <w:rFonts w:ascii="Times New Roman"/>
                <w:color w:val="000000"/>
              </w:rPr>
              <w:t xml:space="preserve">$1,015,569 </w:t>
            </w:r>
          </w:p>
        </w:tc>
        <w:tc>
          <w:tcPr>
            <w:vAlign w:val="center"/>
            <w:tcMar>
              <w:start w:type="dxa" w:w="45"/>
              <w:end w:type="dxa" w:w="45"/>
              <w:top w:type="dxa" w:w="45"/>
              <w:bottom w:type="dxa" w:w="45"/>
            </w:tcMar>
          </w:tcPr>
          <w:p>
            <w:pPr>
              <w:jc w:val="right"/>
            </w:pPr>
            <w:r>
              <w:rPr>
                <w:rFonts w:ascii="Times New Roman"/>
                <w:color w:val="000000"/>
              </w:rPr>
              <w:t xml:space="preserve">$300,000 </w:t>
            </w:r>
          </w:p>
        </w:tc>
        <w:tc>
          <w:tcPr>
            <w:vAlign w:val="center"/>
            <w:tcMar>
              <w:start w:type="dxa" w:w="45"/>
              <w:end w:type="dxa" w:w="45"/>
              <w:top w:type="dxa" w:w="45"/>
              <w:bottom w:type="dxa" w:w="45"/>
            </w:tcMar>
          </w:tcPr>
          <w:p>
            <w:pPr>
              <w:jc w:val="right"/>
            </w:pPr>
            <w:r>
              <w:rPr>
                <w:rFonts w:ascii="Times New Roman"/>
                <w:color w:val="000000"/>
              </w:rPr>
              <w:t xml:space="preserve">$715,569 </w:t>
            </w:r>
          </w:p>
        </w:tc>
      </w:tr>
      <w:tr>
        <w:tc>
          <w:tcPr>
            <w:vAlign w:val="center"/>
            <w:tcMar>
              <w:start w:type="dxa" w:w="45"/>
              <w:end w:type="dxa" w:w="45"/>
              <w:top w:type="dxa" w:w="45"/>
              <w:bottom w:type="dxa" w:w="45"/>
            </w:tcMar>
          </w:tcPr>
          <w:p>
            <w:pPr>
              <w:jc w:val="left"/>
            </w:pPr>
            <w:r>
              <w:rPr>
                <w:rFonts w:ascii="Times New Roman"/>
                <w:color w:val="000000"/>
              </w:rPr>
              <w:t>Streets &amp; Drainage</w:t>
            </w:r>
          </w:p>
        </w:tc>
        <w:tc>
          <w:tcPr>
            <w:vAlign w:val="center"/>
            <w:tcMar>
              <w:start w:type="dxa" w:w="45"/>
              <w:end w:type="dxa" w:w="45"/>
              <w:top w:type="dxa" w:w="45"/>
              <w:bottom w:type="dxa" w:w="45"/>
            </w:tcMar>
          </w:tcPr>
          <w:p>
            <w:pPr>
              <w:jc w:val="right"/>
            </w:pPr>
            <w:r>
              <w:rPr>
                <w:rFonts w:ascii="Times New Roman"/>
                <w:color w:val="000000"/>
              </w:rPr>
              <w:t xml:space="preserve">0 </w:t>
            </w:r>
          </w:p>
        </w:tc>
        <w:tc>
          <w:tcPr>
            <w:vAlign w:val="center"/>
            <w:tcMar>
              <w:start w:type="dxa" w:w="45"/>
              <w:end w:type="dxa" w:w="45"/>
              <w:top w:type="dxa" w:w="45"/>
              <w:bottom w:type="dxa" w:w="45"/>
            </w:tcMar>
          </w:tcPr>
          <w:p>
            <w:pPr>
              <w:jc w:val="right"/>
            </w:pPr>
            <w:r>
              <w:rPr>
                <w:rFonts w:ascii="Times New Roman"/>
                <w:color w:val="000000"/>
              </w:rPr>
              <w:t xml:space="preserve">0 </w:t>
            </w:r>
          </w:p>
        </w:tc>
        <w:tc>
          <w:tcPr>
            <w:vAlign w:val="center"/>
            <w:tcMar>
              <w:start w:type="dxa" w:w="45"/>
              <w:end w:type="dxa" w:w="45"/>
              <w:top w:type="dxa" w:w="45"/>
              <w:bottom w:type="dxa" w:w="45"/>
            </w:tcMar>
          </w:tcPr>
          <w:p>
            <w:pPr>
              <w:jc w:val="right"/>
            </w:pPr>
            <w:r>
              <w:rPr>
                <w:rFonts w:ascii="Times New Roman"/>
                <w:color w:val="000000"/>
              </w:rPr>
              <w:t xml:space="preserve">0 </w:t>
            </w:r>
          </w:p>
        </w:tc>
      </w:tr>
      <w:tr>
        <w:tc>
          <w:tcPr>
            <w:vAlign w:val="center"/>
            <w:tcMar>
              <w:start w:type="dxa" w:w="45"/>
              <w:end w:type="dxa" w:w="45"/>
              <w:top w:type="dxa" w:w="45"/>
              <w:bottom w:type="dxa" w:w="45"/>
            </w:tcMar>
          </w:tcPr>
          <w:p>
            <w:pPr>
              <w:jc w:val="left"/>
            </w:pPr>
            <w:r>
              <w:rPr>
                <w:rFonts w:ascii="Times New Roman"/>
                <w:color w:val="000000"/>
              </w:rPr>
              <w:t>Park&amp; Recreation Improvements</w:t>
            </w:r>
          </w:p>
        </w:tc>
        <w:tc>
          <w:tcPr>
            <w:vAlign w:val="center"/>
            <w:tcMar>
              <w:start w:type="dxa" w:w="45"/>
              <w:end w:type="dxa" w:w="45"/>
              <w:top w:type="dxa" w:w="45"/>
              <w:bottom w:type="dxa" w:w="45"/>
            </w:tcMar>
          </w:tcPr>
          <w:p>
            <w:pPr>
              <w:jc w:val="right"/>
            </w:pPr>
            <w:r>
              <w:rPr>
                <w:rFonts w:ascii="Times New Roman"/>
                <w:color w:val="000000"/>
              </w:rPr>
              <w:t xml:space="preserve">2,922,000 </w:t>
            </w:r>
          </w:p>
        </w:tc>
        <w:tc>
          <w:tcPr>
            <w:vAlign w:val="center"/>
            <w:tcMar>
              <w:start w:type="dxa" w:w="45"/>
              <w:end w:type="dxa" w:w="45"/>
              <w:top w:type="dxa" w:w="45"/>
              <w:bottom w:type="dxa" w:w="45"/>
            </w:tcMar>
          </w:tcPr>
          <w:p>
            <w:pPr>
              <w:jc w:val="right"/>
            </w:pPr>
            <w:r>
              <w:rPr>
                <w:rFonts w:ascii="Times New Roman"/>
                <w:color w:val="000000"/>
              </w:rPr>
              <w:t xml:space="preserve">1,331,040 </w:t>
            </w:r>
          </w:p>
        </w:tc>
        <w:tc>
          <w:tcPr>
            <w:vAlign w:val="center"/>
            <w:tcMar>
              <w:start w:type="dxa" w:w="45"/>
              <w:end w:type="dxa" w:w="45"/>
              <w:top w:type="dxa" w:w="45"/>
              <w:bottom w:type="dxa" w:w="45"/>
            </w:tcMar>
          </w:tcPr>
          <w:p>
            <w:pPr>
              <w:jc w:val="right"/>
            </w:pPr>
            <w:r>
              <w:rPr>
                <w:rFonts w:ascii="Times New Roman"/>
                <w:color w:val="000000"/>
              </w:rPr>
              <w:t xml:space="preserve">1,590,960 </w:t>
            </w:r>
          </w:p>
        </w:tc>
      </w:tr>
      <w:tr>
        <w:tc>
          <w:tcPr>
            <w:vAlign w:val="center"/>
            <w:tcMar>
              <w:start w:type="dxa" w:w="45"/>
              <w:end w:type="dxa" w:w="45"/>
              <w:top w:type="dxa" w:w="45"/>
              <w:bottom w:type="dxa" w:w="45"/>
            </w:tcMar>
          </w:tcPr>
          <w:p>
            <w:pPr>
              <w:jc w:val="left"/>
            </w:pPr>
            <w:r>
              <w:rPr>
                <w:rFonts w:ascii="Times New Roman"/>
                <w:color w:val="000000"/>
              </w:rPr>
              <w:t>Canal Dredging</w:t>
            </w:r>
          </w:p>
        </w:tc>
        <w:tc>
          <w:tcPr>
            <w:vAlign w:val="center"/>
            <w:tcMar>
              <w:start w:type="dxa" w:w="45"/>
              <w:end w:type="dxa" w:w="45"/>
              <w:top w:type="dxa" w:w="45"/>
              <w:bottom w:type="dxa" w:w="45"/>
            </w:tcMar>
          </w:tcPr>
          <w:p>
            <w:pPr>
              <w:jc w:val="right"/>
            </w:pPr>
            <w:r>
              <w:rPr>
                <w:rFonts w:ascii="Times New Roman"/>
                <w:color w:val="000000"/>
              </w:rPr>
              <w:t xml:space="preserve">900,000 </w:t>
            </w:r>
          </w:p>
        </w:tc>
        <w:tc>
          <w:tcPr>
            <w:vAlign w:val="center"/>
            <w:tcMar>
              <w:start w:type="dxa" w:w="45"/>
              <w:end w:type="dxa" w:w="45"/>
              <w:top w:type="dxa" w:w="45"/>
              <w:bottom w:type="dxa" w:w="45"/>
            </w:tcMar>
          </w:tcPr>
          <w:p>
            <w:pPr>
              <w:jc w:val="right"/>
            </w:pPr>
            <w:r>
              <w:rPr>
                <w:rFonts w:ascii="Times New Roman"/>
                <w:color w:val="000000"/>
              </w:rPr>
              <w:t xml:space="preserve">200,000 </w:t>
            </w:r>
          </w:p>
        </w:tc>
        <w:tc>
          <w:tcPr>
            <w:vAlign w:val="center"/>
            <w:tcMar>
              <w:start w:type="dxa" w:w="45"/>
              <w:end w:type="dxa" w:w="45"/>
              <w:top w:type="dxa" w:w="45"/>
              <w:bottom w:type="dxa" w:w="45"/>
            </w:tcMar>
          </w:tcPr>
          <w:p>
            <w:pPr>
              <w:jc w:val="right"/>
            </w:pPr>
            <w:r>
              <w:rPr>
                <w:rFonts w:ascii="Times New Roman"/>
                <w:color w:val="000000"/>
              </w:rPr>
              <w:t xml:space="preserve">700,000 </w:t>
            </w:r>
          </w:p>
        </w:tc>
      </w:tr>
      <w:tr>
        <w:tc>
          <w:tcPr>
            <w:vAlign w:val="center"/>
            <w:tcMar>
              <w:start w:type="dxa" w:w="45"/>
              <w:end w:type="dxa" w:w="45"/>
              <w:top w:type="dxa" w:w="45"/>
              <w:bottom w:type="dxa" w:w="45"/>
            </w:tcMar>
          </w:tcPr>
          <w:p>
            <w:pPr>
              <w:jc w:val="left"/>
            </w:pPr>
            <w:r>
              <w:rPr>
                <w:rFonts w:ascii="Times New Roman"/>
                <w:color w:val="000000"/>
              </w:rPr>
              <w:t>Public Safety</w:t>
            </w:r>
          </w:p>
        </w:tc>
        <w:tc>
          <w:tcPr>
            <w:vAlign w:val="center"/>
            <w:tcMar>
              <w:start w:type="dxa" w:w="45"/>
              <w:end w:type="dxa" w:w="45"/>
              <w:top w:type="dxa" w:w="45"/>
              <w:bottom w:type="dxa" w:w="45"/>
            </w:tcMar>
          </w:tcPr>
          <w:p>
            <w:pPr>
              <w:jc w:val="right"/>
            </w:pPr>
            <w:r>
              <w:rPr>
                <w:rFonts w:ascii="Times New Roman"/>
                <w:color w:val="000000"/>
              </w:rPr>
              <w:t xml:space="preserve">2,303,168 </w:t>
            </w:r>
          </w:p>
        </w:tc>
        <w:tc>
          <w:tcPr>
            <w:vAlign w:val="center"/>
            <w:tcMar>
              <w:start w:type="dxa" w:w="45"/>
              <w:end w:type="dxa" w:w="45"/>
              <w:top w:type="dxa" w:w="45"/>
              <w:bottom w:type="dxa" w:w="45"/>
            </w:tcMar>
          </w:tcPr>
          <w:p>
            <w:pPr>
              <w:jc w:val="right"/>
            </w:pPr>
            <w:r>
              <w:rPr>
                <w:rFonts w:ascii="Times New Roman"/>
                <w:color w:val="000000"/>
              </w:rPr>
              <w:t xml:space="preserve">1,961,511 </w:t>
            </w:r>
          </w:p>
        </w:tc>
        <w:tc>
          <w:tcPr>
            <w:vAlign w:val="center"/>
            <w:tcMar>
              <w:start w:type="dxa" w:w="45"/>
              <w:end w:type="dxa" w:w="45"/>
              <w:top w:type="dxa" w:w="45"/>
              <w:bottom w:type="dxa" w:w="45"/>
            </w:tcMar>
          </w:tcPr>
          <w:p>
            <w:pPr>
              <w:jc w:val="right"/>
            </w:pPr>
            <w:r>
              <w:rPr>
                <w:rFonts w:ascii="Times New Roman"/>
                <w:color w:val="000000"/>
              </w:rPr>
              <w:t xml:space="preserve">341,657 </w:t>
            </w:r>
          </w:p>
        </w:tc>
      </w:tr>
      <w:tr>
        <w:tc>
          <w:tcPr>
            <w:vAlign w:val="center"/>
            <w:tcMar>
              <w:start w:type="dxa" w:w="45"/>
              <w:end w:type="dxa" w:w="45"/>
              <w:top w:type="dxa" w:w="45"/>
              <w:bottom w:type="dxa" w:w="45"/>
            </w:tcMar>
          </w:tcPr>
          <w:p>
            <w:pPr>
              <w:jc w:val="left"/>
            </w:pPr>
            <w:r>
              <w:rPr>
                <w:rFonts w:ascii="Times New Roman"/>
                <w:color w:val="000000"/>
              </w:rPr>
              <w:t>Public Facility Improvements</w:t>
            </w:r>
          </w:p>
        </w:tc>
        <w:tc>
          <w:tcPr>
            <w:tcBorders>
              <w:top w:color="ffffff" w:sz="0" w:val="none"/>
              <w:end w:color="ffffff" w:sz="0" w:val="none"/>
              <w:bottom w:color="000000" w:sz="4" w:val="single"/>
              <w:start w:color="ffffff" w:sz="0" w:val="none"/>
            </w:tcBorders>
            <w:vAlign w:val="center"/>
            <w:tcMar>
              <w:start w:type="dxa" w:w="45"/>
              <w:end w:type="dxa" w:w="45"/>
              <w:top w:type="dxa" w:w="45"/>
              <w:bottom w:type="dxa" w:w="45"/>
            </w:tcMar>
          </w:tcPr>
          <w:p>
            <w:pPr>
              <w:jc w:val="right"/>
            </w:pPr>
            <w:r>
              <w:rPr>
                <w:rFonts w:ascii="Times New Roman"/>
                <w:color w:val="000000"/>
              </w:rPr>
              <w:t xml:space="preserve">922,000 </w:t>
            </w:r>
          </w:p>
        </w:tc>
        <w:tc>
          <w:tcPr>
            <w:tcBorders>
              <w:top w:color="ffffff" w:sz="0" w:val="none"/>
              <w:end w:color="ffffff" w:sz="0" w:val="none"/>
              <w:bottom w:color="000000" w:sz="4" w:val="single"/>
              <w:start w:color="ffffff" w:sz="0" w:val="none"/>
            </w:tcBorders>
            <w:vAlign w:val="center"/>
            <w:tcMar>
              <w:start w:type="dxa" w:w="45"/>
              <w:end w:type="dxa" w:w="45"/>
              <w:top w:type="dxa" w:w="45"/>
              <w:bottom w:type="dxa" w:w="45"/>
            </w:tcMar>
          </w:tcPr>
          <w:p>
            <w:pPr>
              <w:jc w:val="right"/>
            </w:pPr>
            <w:r>
              <w:rPr>
                <w:rFonts w:ascii="Times New Roman"/>
                <w:color w:val="000000"/>
              </w:rPr>
              <w:t xml:space="preserve">534,935 </w:t>
            </w:r>
          </w:p>
        </w:tc>
        <w:tc>
          <w:tcPr>
            <w:tcBorders>
              <w:top w:color="ffffff" w:sz="0" w:val="none"/>
              <w:end w:color="ffffff" w:sz="0" w:val="none"/>
              <w:bottom w:color="000000" w:sz="4" w:val="single"/>
              <w:start w:color="ffffff" w:sz="0" w:val="none"/>
            </w:tcBorders>
            <w:vAlign w:val="center"/>
            <w:tcMar>
              <w:start w:type="dxa" w:w="45"/>
              <w:end w:type="dxa" w:w="45"/>
              <w:top w:type="dxa" w:w="45"/>
              <w:bottom w:type="dxa" w:w="45"/>
            </w:tcMar>
          </w:tcPr>
          <w:p>
            <w:pPr>
              <w:jc w:val="right"/>
            </w:pPr>
            <w:r>
              <w:rPr>
                <w:rFonts w:ascii="Times New Roman"/>
                <w:color w:val="000000"/>
              </w:rPr>
              <w:t xml:space="preserve">387,065 </w:t>
            </w:r>
          </w:p>
        </w:tc>
      </w:tr>
      <w:tr>
        <w:tc>
          <w:tcPr>
            <w:vAlign w:val="center"/>
            <w:tcMar>
              <w:start w:type="dxa" w:w="45"/>
              <w:end w:type="dxa" w:w="45"/>
              <w:top w:type="dxa" w:w="45"/>
              <w:bottom w:type="dxa" w:w="45"/>
            </w:tcMar>
          </w:tcPr>
          <w:p>
            <w:pPr>
              <w:jc w:val="right"/>
            </w:pPr>
            <w:r>
              <w:rPr>
                <w:rFonts w:ascii="Times New Roman"/>
                <w:color w:val="000000"/>
              </w:rPr>
              <w:t> </w:t>
            </w:r>
          </w:p>
        </w:tc>
        <w:tc>
          <w:tcPr>
            <w:tcBorders>
              <w:top w:color="ffffff" w:sz="0" w:val="none"/>
              <w:end w:color="ffffff" w:sz="0" w:val="none"/>
              <w:bottom w:color="000000" w:sz="6" w:val="double"/>
              <w:start w:color="ffffff" w:sz="0" w:val="none"/>
            </w:tcBorders>
            <w:vAlign w:val="center"/>
            <w:tcMar>
              <w:start w:type="dxa" w:w="45"/>
              <w:end w:type="dxa" w:w="45"/>
              <w:top w:type="dxa" w:w="45"/>
              <w:bottom w:type="dxa" w:w="45"/>
            </w:tcMar>
          </w:tcPr>
          <w:p>
            <w:pPr>
              <w:jc w:val="right"/>
            </w:pPr>
            <w:r>
              <w:rPr>
                <w:rFonts w:ascii="Times New Roman"/>
                <w:color w:val="000000"/>
              </w:rPr>
              <w:t xml:space="preserve">$8,062,737 </w:t>
            </w:r>
          </w:p>
        </w:tc>
        <w:tc>
          <w:tcPr>
            <w:tcBorders>
              <w:top w:color="ffffff" w:sz="0" w:val="none"/>
              <w:end w:color="ffffff" w:sz="0" w:val="none"/>
              <w:bottom w:color="000000" w:sz="6" w:val="double"/>
              <w:start w:color="ffffff" w:sz="0" w:val="none"/>
            </w:tcBorders>
            <w:vAlign w:val="center"/>
            <w:tcMar>
              <w:start w:type="dxa" w:w="45"/>
              <w:end w:type="dxa" w:w="45"/>
              <w:top w:type="dxa" w:w="45"/>
              <w:bottom w:type="dxa" w:w="45"/>
            </w:tcMar>
          </w:tcPr>
          <w:p>
            <w:pPr>
              <w:jc w:val="right"/>
            </w:pPr>
            <w:r>
              <w:rPr>
                <w:rFonts w:ascii="Times New Roman"/>
                <w:color w:val="000000"/>
              </w:rPr>
              <w:t xml:space="preserve">$4,327,486 </w:t>
            </w:r>
          </w:p>
        </w:tc>
        <w:tc>
          <w:tcPr>
            <w:tcBorders>
              <w:top w:color="ffffff" w:sz="0" w:val="none"/>
              <w:end w:color="ffffff" w:sz="0" w:val="none"/>
              <w:bottom w:color="000000" w:sz="6" w:val="double"/>
              <w:start w:color="ffffff" w:sz="0" w:val="none"/>
            </w:tcBorders>
            <w:vAlign w:val="center"/>
            <w:tcMar>
              <w:start w:type="dxa" w:w="45"/>
              <w:end w:type="dxa" w:w="45"/>
              <w:top w:type="dxa" w:w="45"/>
              <w:bottom w:type="dxa" w:w="45"/>
            </w:tcMar>
          </w:tcPr>
          <w:p>
            <w:pPr>
              <w:jc w:val="right"/>
            </w:pPr>
            <w:r>
              <w:rPr>
                <w:rFonts w:ascii="Times New Roman"/>
                <w:color w:val="000000"/>
              </w:rPr>
              <w:t xml:space="preserve">$3,735,251 </w:t>
            </w:r>
          </w:p>
        </w:tc>
      </w:tr>
    </w:tbl>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 </w:t>
      </w:r>
    </w:p>
    <w:p>
      <w:pPr>
        <w:ind w:end="0" w:start="720"/>
        <w:spacing w:after="0" w:before="0"/>
        <w:jc w:val="left"/>
        <w:numPr>
          <w:ilvl w:val="0"/>
          <w:numId w:val="4"/>
        </w:numPr>
      </w:pPr>
      <w:r>
        <w:rPr>
          <w:rFonts w:ascii="Times New Roman"/>
          <w:sz w:val="21"/>
          <w:color w:val="000000"/>
          <w:b w:val="1"/>
        </w:rPr>
        <w:t>Conclusion</w:t>
      </w:r>
      <w:r>
        <w:rPr>
          <w:rFonts w:ascii="Times New Roman"/>
          <w:sz w:val="21"/>
          <w:color w:val="000000"/>
          <w:b w:val="1"/>
        </w:rPr>
        <w:t> </w:t>
      </w:r>
    </w:p>
    <w:p>
      <w:pPr>
        <w:ind w:end="0" w:start="1440"/>
        <w:spacing w:after="0" w:before="0"/>
        <w:jc w:val="left"/>
      </w:pPr>
      <w:r>
        <w:rPr>
          <w:rFonts w:ascii="Times New Roman"/>
          <w:sz w:val="21"/>
          <w:color w:val="000000"/>
          <w:b w:val="1"/>
        </w:rPr>
        <w:t> </w:t>
      </w:r>
    </w:p>
    <w:p>
      <w:pPr>
        <w:ind w:end="0" w:start="720"/>
        <w:spacing w:after="0" w:before="0"/>
        <w:jc w:val="both"/>
      </w:pPr>
      <w:r>
        <w:rPr>
          <w:rFonts w:ascii="Times New Roman"/>
          <w:sz w:val="21"/>
          <w:color w:val="000000"/>
        </w:rPr>
        <w:t>The Citizens’ Tax Oversight Committee has reviewed expenditures to insure they are in accordance with the scope of the project budget and we have no findings to report to you at this time. </w:t>
      </w:r>
    </w:p>
    <w:p>
      <w:pPr>
        <w:ind w:end="0" w:start="720"/>
        <w:spacing w:after="0" w:before="0"/>
        <w:jc w:val="both"/>
      </w:pPr>
      <w:r>
        <w:rPr>
          <w:rFonts w:ascii="Times New Roman"/>
          <w:sz w:val="21"/>
          <w:color w:val="000000"/>
        </w:rPr>
        <w:t> </w:t>
      </w:r>
    </w:p>
    <w:p>
      <w:pPr>
        <w:ind w:end="0" w:start="720"/>
        <w:spacing w:after="0" w:before="0"/>
        <w:jc w:val="both"/>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___________________________ </w:t>
      </w:r>
    </w:p>
    <w:p>
      <w:pPr>
        <w:ind w:end="0" w:start="0"/>
        <w:spacing w:after="0" w:before="0"/>
        <w:jc w:val="left"/>
      </w:pPr>
      <w:r>
        <w:rPr>
          <w:rFonts w:ascii="Times New Roman"/>
          <w:sz w:val="21"/>
          <w:color w:val="000000"/>
        </w:rPr>
        <w:t>Beverly Shapiro </w:t>
      </w:r>
    </w:p>
    <w:p>
      <w:pPr>
        <w:ind w:end="0" w:start="0"/>
        <w:spacing w:after="0" w:before="0"/>
        <w:jc w:val="left"/>
      </w:pPr>
      <w:r>
        <w:rPr>
          <w:rFonts w:ascii="Times New Roman"/>
          <w:sz w:val="21"/>
          <w:color w:val="000000"/>
        </w:rPr>
        <w:t>Citizens’ Tax Oversight Committee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abstractNum w:abstractNumId="1">
    <w:multiLevelType w:val="multilevel"/>
    <w:lvl w:ilvl="0">
      <w:start w:val="1"/>
      <w:lvlText w:val="%1."/>
      <w:numFmt w:val="decimal"/>
      <w:pPr>
        <w:tabs>
          <w:tab w:pos="720" w:val="num"/>
        </w:tabs>
        <w:ind w:hanging="360" w:left="720"/>
      </w:pPr>
    </w:lvl>
  </w:abstractNum>
  <w:num w:numId="2">
    <w:abstractNumId w:val="1"/>
  </w:num>
  <w:abstractNum w:abstractNumId="2">
    <w:multiLevelType w:val="multilevel"/>
    <w:lvl w:ilvl="0">
      <w:start w:val="1"/>
      <w:lvlText w:val="%1."/>
      <w:numFmt w:val="decimal"/>
      <w:pPr>
        <w:tabs>
          <w:tab w:pos="720" w:val="num"/>
        </w:tabs>
        <w:ind w:hanging="360" w:left="720"/>
      </w:pPr>
    </w:lvl>
  </w:abstractNum>
  <w:num w:numId="3">
    <w:abstractNumId w:val="2"/>
  </w:num>
  <w:abstractNum w:abstractNumId="3">
    <w:multiLevelType w:val="multilevel"/>
    <w:lvl w:ilvl="0">
      <w:start w:val="1"/>
      <w:lvlText w:val="%1."/>
      <w:numFmt w:val="decimal"/>
      <w:pPr>
        <w:tabs>
          <w:tab w:pos="720" w:val="num"/>
        </w:tabs>
        <w:ind w:hanging="360" w:left="720"/>
      </w:pPr>
    </w:lvl>
  </w:abstractNum>
  <w:num w:numId="4">
    <w:abstractNumId w:val="3"/>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2024-09-04T11:14:08Z</dcterms:created>
  <dcterms:modified xsi:type="dcterms:W3CDTF">2024-09-04T11:14:08Z</dcterms:modified>
</cp:coreProperties>
</file>